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17" w:rsidRPr="00CE1A77" w:rsidRDefault="001E6317" w:rsidP="000B748C">
      <w:pPr>
        <w:jc w:val="both"/>
        <w:rPr>
          <w:rFonts w:asciiTheme="minorHAnsi" w:hAnsiTheme="minorHAnsi" w:cstheme="minorHAnsi"/>
          <w:sz w:val="22"/>
          <w:szCs w:val="22"/>
          <w:lang w:val="fr-BE"/>
        </w:rPr>
      </w:pPr>
    </w:p>
    <w:p w:rsidR="001E6317" w:rsidRPr="00CE1A77" w:rsidRDefault="001E6317" w:rsidP="000B748C">
      <w:pPr>
        <w:jc w:val="center"/>
        <w:rPr>
          <w:rFonts w:asciiTheme="minorHAnsi" w:hAnsiTheme="minorHAnsi" w:cstheme="minorHAnsi"/>
          <w:b/>
          <w:caps/>
          <w:szCs w:val="22"/>
          <w:lang w:val="fr-BE"/>
        </w:rPr>
      </w:pPr>
      <w:r w:rsidRPr="00CE1A77">
        <w:rPr>
          <w:rFonts w:asciiTheme="minorHAnsi" w:hAnsiTheme="minorHAnsi" w:cstheme="minorHAnsi"/>
          <w:b/>
          <w:caps/>
          <w:szCs w:val="22"/>
          <w:lang w:val="fr-BE"/>
        </w:rPr>
        <w:t>Projet de délibération du conseil communal</w:t>
      </w:r>
    </w:p>
    <w:p w:rsidR="001E6317" w:rsidRPr="00CE1A77" w:rsidRDefault="001E6317" w:rsidP="000B748C">
      <w:pPr>
        <w:jc w:val="center"/>
        <w:rPr>
          <w:rFonts w:asciiTheme="minorHAnsi" w:hAnsiTheme="minorHAnsi" w:cstheme="minorHAnsi"/>
          <w:b/>
          <w:sz w:val="22"/>
          <w:szCs w:val="22"/>
          <w:lang w:val="fr-BE"/>
        </w:rPr>
      </w:pPr>
    </w:p>
    <w:tbl>
      <w:tblPr>
        <w:tblW w:w="9734" w:type="dxa"/>
        <w:tblInd w:w="-20" w:type="dxa"/>
        <w:tblLayout w:type="fixed"/>
        <w:tblLook w:val="0000" w:firstRow="0" w:lastRow="0" w:firstColumn="0" w:lastColumn="0" w:noHBand="0" w:noVBand="0"/>
      </w:tblPr>
      <w:tblGrid>
        <w:gridCol w:w="9734"/>
      </w:tblGrid>
      <w:tr w:rsidR="001E6317" w:rsidRPr="00CE1A77" w:rsidTr="00CE1A77">
        <w:trPr>
          <w:trHeight w:val="269"/>
        </w:trPr>
        <w:tc>
          <w:tcPr>
            <w:tcW w:w="9734" w:type="dxa"/>
            <w:vMerge w:val="restart"/>
            <w:tcBorders>
              <w:top w:val="single" w:sz="4" w:space="0" w:color="000000"/>
              <w:left w:val="single" w:sz="4" w:space="0" w:color="000000"/>
              <w:bottom w:val="single" w:sz="4" w:space="0" w:color="000000"/>
              <w:right w:val="single" w:sz="4" w:space="0" w:color="000000"/>
            </w:tcBorders>
          </w:tcPr>
          <w:p w:rsidR="001E6317" w:rsidRPr="00CE1A77" w:rsidRDefault="001E6317" w:rsidP="000B748C">
            <w:pPr>
              <w:snapToGrid w:val="0"/>
              <w:jc w:val="both"/>
              <w:rPr>
                <w:rFonts w:asciiTheme="minorHAnsi" w:hAnsiTheme="minorHAnsi" w:cstheme="minorHAnsi"/>
                <w:sz w:val="22"/>
                <w:szCs w:val="22"/>
                <w:lang w:val="fr-BE"/>
              </w:rPr>
            </w:pPr>
            <w:r w:rsidRPr="00CE1A77">
              <w:rPr>
                <w:rFonts w:asciiTheme="minorHAnsi" w:hAnsiTheme="minorHAnsi" w:cstheme="minorHAnsi"/>
                <w:sz w:val="22"/>
                <w:szCs w:val="22"/>
                <w:u w:val="single"/>
                <w:lang w:val="fr-BE"/>
              </w:rPr>
              <w:t>N° objet</w:t>
            </w:r>
            <w:r w:rsidRPr="00CE1A77">
              <w:rPr>
                <w:rFonts w:asciiTheme="minorHAnsi" w:hAnsiTheme="minorHAnsi" w:cstheme="minorHAnsi"/>
                <w:sz w:val="22"/>
                <w:szCs w:val="22"/>
                <w:lang w:val="fr-BE"/>
              </w:rPr>
              <w:t xml:space="preserve"> : </w:t>
            </w:r>
          </w:p>
        </w:tc>
      </w:tr>
      <w:tr w:rsidR="001E6317" w:rsidRPr="00CE1A77" w:rsidTr="00CE1A77">
        <w:trPr>
          <w:trHeight w:val="253"/>
        </w:trPr>
        <w:tc>
          <w:tcPr>
            <w:tcW w:w="9734" w:type="dxa"/>
            <w:tcBorders>
              <w:top w:val="single" w:sz="4" w:space="0" w:color="000000"/>
              <w:left w:val="single" w:sz="4" w:space="0" w:color="000000"/>
              <w:bottom w:val="single" w:sz="4" w:space="0" w:color="000000"/>
              <w:right w:val="single" w:sz="4" w:space="0" w:color="000000"/>
            </w:tcBorders>
          </w:tcPr>
          <w:p w:rsidR="001E6317" w:rsidRPr="00CE1A77" w:rsidRDefault="001E6317" w:rsidP="000B748C">
            <w:pPr>
              <w:snapToGrid w:val="0"/>
              <w:jc w:val="both"/>
              <w:rPr>
                <w:rFonts w:asciiTheme="minorHAnsi" w:hAnsiTheme="minorHAnsi" w:cstheme="minorHAnsi"/>
                <w:sz w:val="22"/>
                <w:szCs w:val="22"/>
                <w:lang w:val="fr-BE"/>
              </w:rPr>
            </w:pPr>
          </w:p>
          <w:p w:rsidR="001E6317" w:rsidRPr="00CE1A77" w:rsidRDefault="001E6317" w:rsidP="000B748C">
            <w:pPr>
              <w:snapToGrid w:val="0"/>
              <w:jc w:val="both"/>
              <w:rPr>
                <w:rFonts w:asciiTheme="minorHAnsi" w:hAnsiTheme="minorHAnsi" w:cstheme="minorHAnsi"/>
                <w:b/>
                <w:bCs/>
                <w:i/>
                <w:iCs/>
                <w:sz w:val="22"/>
                <w:szCs w:val="22"/>
                <w:lang w:val="fr-BE"/>
              </w:rPr>
            </w:pPr>
            <w:r w:rsidRPr="00CE1A77">
              <w:rPr>
                <w:rFonts w:asciiTheme="minorHAnsi" w:hAnsiTheme="minorHAnsi" w:cstheme="minorHAnsi"/>
                <w:sz w:val="22"/>
                <w:szCs w:val="22"/>
                <w:lang w:val="fr-BE"/>
              </w:rPr>
              <w:t>Objet :</w:t>
            </w:r>
            <w:r w:rsidRPr="00CE1A77">
              <w:rPr>
                <w:rFonts w:asciiTheme="minorHAnsi" w:hAnsiTheme="minorHAnsi" w:cstheme="minorHAnsi"/>
                <w:b/>
                <w:bCs/>
                <w:i/>
                <w:iCs/>
                <w:sz w:val="22"/>
                <w:szCs w:val="22"/>
                <w:lang w:val="fr-BE"/>
              </w:rPr>
              <w:t xml:space="preserve"> Décision de recourir à</w:t>
            </w:r>
            <w:r w:rsidR="00143AB5" w:rsidRPr="00CE1A77">
              <w:rPr>
                <w:rFonts w:asciiTheme="minorHAnsi" w:hAnsiTheme="minorHAnsi" w:cstheme="minorHAnsi"/>
                <w:b/>
                <w:bCs/>
                <w:i/>
                <w:iCs/>
                <w:sz w:val="22"/>
                <w:szCs w:val="22"/>
                <w:lang w:val="fr-BE"/>
              </w:rPr>
              <w:t xml:space="preserve"> NEOVIA</w:t>
            </w:r>
            <w:r w:rsidR="00EE459A" w:rsidRPr="00CE1A77">
              <w:rPr>
                <w:rFonts w:asciiTheme="minorHAnsi" w:hAnsiTheme="minorHAnsi" w:cstheme="minorHAnsi"/>
                <w:b/>
                <w:bCs/>
                <w:i/>
                <w:iCs/>
                <w:sz w:val="22"/>
                <w:szCs w:val="22"/>
                <w:lang w:val="fr-BE"/>
              </w:rPr>
              <w:t xml:space="preserve"> </w:t>
            </w:r>
            <w:r w:rsidR="00143AB5" w:rsidRPr="00CE1A77">
              <w:rPr>
                <w:rFonts w:asciiTheme="minorHAnsi" w:hAnsiTheme="minorHAnsi" w:cstheme="minorHAnsi"/>
                <w:b/>
                <w:bCs/>
                <w:i/>
                <w:iCs/>
                <w:sz w:val="22"/>
                <w:szCs w:val="22"/>
                <w:lang w:val="fr-BE"/>
              </w:rPr>
              <w:t>pour l’installation de moyens de production locale d’énergie renouvelable et durable</w:t>
            </w:r>
          </w:p>
          <w:p w:rsidR="001E6317" w:rsidRPr="00CE1A77" w:rsidRDefault="001E6317" w:rsidP="000B748C">
            <w:pPr>
              <w:jc w:val="both"/>
              <w:rPr>
                <w:rFonts w:asciiTheme="minorHAnsi" w:hAnsiTheme="minorHAnsi" w:cstheme="minorHAnsi"/>
                <w:sz w:val="22"/>
                <w:szCs w:val="22"/>
                <w:lang w:val="fr-BE"/>
              </w:rPr>
            </w:pPr>
          </w:p>
        </w:tc>
      </w:tr>
    </w:tbl>
    <w:p w:rsidR="001E6317" w:rsidRPr="00CE1A77" w:rsidRDefault="001E6317" w:rsidP="000B748C">
      <w:pPr>
        <w:jc w:val="both"/>
        <w:rPr>
          <w:rFonts w:asciiTheme="minorHAnsi" w:hAnsiTheme="minorHAnsi" w:cstheme="minorHAnsi"/>
          <w:sz w:val="22"/>
          <w:szCs w:val="22"/>
          <w:lang w:val="fr-BE"/>
        </w:rPr>
      </w:pPr>
    </w:p>
    <w:p w:rsidR="001E6317" w:rsidRPr="00CE1A77" w:rsidRDefault="001E6317" w:rsidP="000B748C">
      <w:pPr>
        <w:jc w:val="both"/>
        <w:rPr>
          <w:rFonts w:asciiTheme="minorHAnsi" w:hAnsiTheme="minorHAnsi" w:cstheme="minorHAnsi"/>
          <w:b/>
          <w:sz w:val="22"/>
          <w:szCs w:val="22"/>
          <w:lang w:val="fr-BE"/>
        </w:rPr>
      </w:pPr>
      <w:r w:rsidRPr="00CE1A77">
        <w:rPr>
          <w:rFonts w:asciiTheme="minorHAnsi" w:hAnsiTheme="minorHAnsi" w:cstheme="minorHAnsi"/>
          <w:b/>
          <w:sz w:val="22"/>
          <w:szCs w:val="22"/>
          <w:lang w:val="fr-BE"/>
        </w:rPr>
        <w:t>Le Conseil communal,</w:t>
      </w:r>
    </w:p>
    <w:p w:rsidR="001E6317" w:rsidRPr="00CE1A77" w:rsidRDefault="001E6317" w:rsidP="000B748C">
      <w:pPr>
        <w:pStyle w:val="Retraitcorpsdetexte"/>
        <w:ind w:left="284" w:firstLine="0"/>
        <w:jc w:val="both"/>
        <w:rPr>
          <w:rFonts w:asciiTheme="minorHAnsi" w:hAnsiTheme="minorHAnsi" w:cstheme="minorHAnsi"/>
          <w:sz w:val="22"/>
          <w:szCs w:val="22"/>
        </w:rPr>
      </w:pPr>
    </w:p>
    <w:p w:rsidR="001E6317" w:rsidRPr="00CE1A77" w:rsidRDefault="001E6317" w:rsidP="000B748C">
      <w:pPr>
        <w:jc w:val="both"/>
        <w:rPr>
          <w:rFonts w:asciiTheme="minorHAnsi" w:hAnsiTheme="minorHAnsi" w:cstheme="minorHAnsi"/>
          <w:sz w:val="22"/>
          <w:szCs w:val="22"/>
          <w:lang w:val="fr-BE"/>
        </w:rPr>
      </w:pPr>
      <w:r w:rsidRPr="00CE1A77">
        <w:rPr>
          <w:rFonts w:asciiTheme="minorHAnsi" w:hAnsiTheme="minorHAnsi" w:cstheme="minorHAnsi"/>
          <w:sz w:val="22"/>
          <w:szCs w:val="22"/>
          <w:lang w:val="fr-BE"/>
        </w:rPr>
        <w:t>Vu le Code de la démocratie locale et de la décentralisation ;</w:t>
      </w:r>
    </w:p>
    <w:p w:rsidR="001E6317" w:rsidRPr="00CE1A77" w:rsidRDefault="001E6317" w:rsidP="000B748C">
      <w:pPr>
        <w:jc w:val="both"/>
        <w:rPr>
          <w:rFonts w:asciiTheme="minorHAnsi" w:hAnsiTheme="minorHAnsi" w:cstheme="minorHAnsi"/>
          <w:sz w:val="22"/>
          <w:szCs w:val="22"/>
          <w:lang w:val="fr-BE"/>
        </w:rPr>
      </w:pPr>
    </w:p>
    <w:p w:rsidR="001E6317" w:rsidRPr="00CE1A77" w:rsidRDefault="001E6317" w:rsidP="000B748C">
      <w:pPr>
        <w:jc w:val="both"/>
        <w:rPr>
          <w:rFonts w:asciiTheme="minorHAnsi" w:hAnsiTheme="minorHAnsi" w:cstheme="minorHAnsi"/>
          <w:sz w:val="22"/>
          <w:szCs w:val="22"/>
        </w:rPr>
      </w:pPr>
      <w:r w:rsidRPr="00CE1A77">
        <w:rPr>
          <w:rFonts w:asciiTheme="minorHAnsi" w:hAnsiTheme="minorHAnsi" w:cstheme="minorHAnsi"/>
          <w:sz w:val="22"/>
          <w:szCs w:val="22"/>
        </w:rPr>
        <w:t xml:space="preserve">Vu l’affiliation de la </w:t>
      </w:r>
      <w:r w:rsidRPr="00CE1A77">
        <w:rPr>
          <w:rFonts w:asciiTheme="minorHAnsi" w:hAnsiTheme="minorHAnsi" w:cstheme="minorHAnsi"/>
          <w:sz w:val="22"/>
          <w:szCs w:val="22"/>
          <w:highlight w:val="yellow"/>
        </w:rPr>
        <w:t>Ville/Commune de……….</w:t>
      </w:r>
      <w:r w:rsidR="00143AB5" w:rsidRPr="00CE1A77">
        <w:rPr>
          <w:rFonts w:asciiTheme="minorHAnsi" w:hAnsiTheme="minorHAnsi" w:cstheme="minorHAnsi"/>
          <w:sz w:val="22"/>
          <w:szCs w:val="22"/>
        </w:rPr>
        <w:t xml:space="preserve"> </w:t>
      </w:r>
      <w:proofErr w:type="gramStart"/>
      <w:r w:rsidR="00143AB5" w:rsidRPr="00CE1A77">
        <w:rPr>
          <w:rFonts w:asciiTheme="minorHAnsi" w:hAnsiTheme="minorHAnsi" w:cstheme="minorHAnsi"/>
          <w:sz w:val="22"/>
          <w:szCs w:val="22"/>
        </w:rPr>
        <w:t>aux</w:t>
      </w:r>
      <w:proofErr w:type="gramEnd"/>
      <w:r w:rsidR="00143AB5" w:rsidRPr="00CE1A77">
        <w:rPr>
          <w:rFonts w:asciiTheme="minorHAnsi" w:hAnsiTheme="minorHAnsi" w:cstheme="minorHAnsi"/>
          <w:sz w:val="22"/>
          <w:szCs w:val="22"/>
        </w:rPr>
        <w:t xml:space="preserve"> intercommunale</w:t>
      </w:r>
      <w:r w:rsidR="00493772" w:rsidRPr="00CE1A77">
        <w:rPr>
          <w:rFonts w:asciiTheme="minorHAnsi" w:hAnsiTheme="minorHAnsi" w:cstheme="minorHAnsi"/>
          <w:sz w:val="22"/>
          <w:szCs w:val="22"/>
        </w:rPr>
        <w:t>s</w:t>
      </w:r>
      <w:r w:rsidR="00143AB5" w:rsidRPr="00CE1A77">
        <w:rPr>
          <w:rFonts w:asciiTheme="minorHAnsi" w:hAnsiTheme="minorHAnsi" w:cstheme="minorHAnsi"/>
          <w:sz w:val="22"/>
          <w:szCs w:val="22"/>
        </w:rPr>
        <w:t xml:space="preserve"> CENEO et </w:t>
      </w:r>
      <w:r w:rsidR="00143AB5" w:rsidRPr="00CE1A77">
        <w:rPr>
          <w:rFonts w:asciiTheme="minorHAnsi" w:hAnsiTheme="minorHAnsi" w:cstheme="minorHAnsi"/>
          <w:sz w:val="22"/>
          <w:szCs w:val="22"/>
          <w:highlight w:val="yellow"/>
        </w:rPr>
        <w:t>IGRETEC</w:t>
      </w:r>
      <w:r w:rsidR="00493772" w:rsidRPr="00CE1A77">
        <w:rPr>
          <w:rFonts w:asciiTheme="minorHAnsi" w:hAnsiTheme="minorHAnsi" w:cstheme="minorHAnsi"/>
          <w:sz w:val="22"/>
          <w:szCs w:val="22"/>
          <w:highlight w:val="yellow"/>
        </w:rPr>
        <w:t xml:space="preserve"> et/ou </w:t>
      </w:r>
      <w:r w:rsidR="00143AB5" w:rsidRPr="00CE1A77">
        <w:rPr>
          <w:rFonts w:asciiTheme="minorHAnsi" w:hAnsiTheme="minorHAnsi" w:cstheme="minorHAnsi"/>
          <w:sz w:val="22"/>
          <w:szCs w:val="22"/>
          <w:highlight w:val="yellow"/>
        </w:rPr>
        <w:t>IDEA</w:t>
      </w:r>
      <w:r w:rsidR="00493772" w:rsidRPr="00CE1A77">
        <w:rPr>
          <w:rFonts w:asciiTheme="minorHAnsi" w:hAnsiTheme="minorHAnsi" w:cstheme="minorHAnsi"/>
          <w:sz w:val="22"/>
          <w:szCs w:val="22"/>
          <w:highlight w:val="yellow"/>
        </w:rPr>
        <w:t xml:space="preserve"> et/ou </w:t>
      </w:r>
      <w:r w:rsidR="00143AB5" w:rsidRPr="00CE1A77">
        <w:rPr>
          <w:rFonts w:asciiTheme="minorHAnsi" w:hAnsiTheme="minorHAnsi" w:cstheme="minorHAnsi"/>
          <w:sz w:val="22"/>
          <w:szCs w:val="22"/>
          <w:highlight w:val="yellow"/>
        </w:rPr>
        <w:t>IDETA</w:t>
      </w:r>
      <w:r w:rsidR="00143AB5" w:rsidRPr="00CE1A77">
        <w:rPr>
          <w:rFonts w:asciiTheme="minorHAnsi" w:hAnsiTheme="minorHAnsi" w:cstheme="minorHAnsi"/>
          <w:sz w:val="22"/>
          <w:szCs w:val="22"/>
        </w:rPr>
        <w:t xml:space="preserve"> ; </w:t>
      </w:r>
    </w:p>
    <w:p w:rsidR="00110E08" w:rsidRPr="00CE1A77" w:rsidRDefault="00110E08" w:rsidP="000B748C">
      <w:pPr>
        <w:jc w:val="both"/>
        <w:rPr>
          <w:rFonts w:asciiTheme="minorHAnsi" w:hAnsiTheme="minorHAnsi" w:cstheme="minorHAnsi"/>
          <w:sz w:val="22"/>
          <w:szCs w:val="22"/>
        </w:rPr>
      </w:pPr>
    </w:p>
    <w:p w:rsidR="00110E08" w:rsidRPr="00CE1A77" w:rsidRDefault="00110E08" w:rsidP="000B748C">
      <w:pPr>
        <w:jc w:val="both"/>
        <w:rPr>
          <w:rFonts w:asciiTheme="minorHAnsi" w:hAnsiTheme="minorHAnsi" w:cstheme="minorHAnsi"/>
          <w:sz w:val="22"/>
          <w:szCs w:val="22"/>
        </w:rPr>
      </w:pPr>
      <w:r w:rsidRPr="00CE1A77">
        <w:rPr>
          <w:rFonts w:asciiTheme="minorHAnsi" w:hAnsiTheme="minorHAnsi" w:cstheme="minorHAnsi"/>
          <w:sz w:val="22"/>
          <w:szCs w:val="22"/>
        </w:rPr>
        <w:t>Vu le contrat intitulé : « Contrat-Cadre Installation de moyens de production locale d’énergie renouvelable et durable » ;</w:t>
      </w:r>
    </w:p>
    <w:p w:rsidR="001E6317" w:rsidRPr="00CE1A77" w:rsidRDefault="001E6317" w:rsidP="000B748C">
      <w:pPr>
        <w:jc w:val="both"/>
        <w:rPr>
          <w:rFonts w:asciiTheme="minorHAnsi" w:hAnsiTheme="minorHAnsi" w:cstheme="minorHAnsi"/>
          <w:sz w:val="22"/>
          <w:szCs w:val="22"/>
        </w:rPr>
      </w:pPr>
    </w:p>
    <w:p w:rsidR="001E6317" w:rsidRPr="00CE1A77" w:rsidRDefault="001E6317" w:rsidP="000B748C">
      <w:pPr>
        <w:pStyle w:val="Notedebasdepage"/>
        <w:jc w:val="both"/>
        <w:rPr>
          <w:rFonts w:asciiTheme="minorHAnsi" w:hAnsiTheme="minorHAnsi" w:cstheme="minorHAnsi"/>
          <w:sz w:val="22"/>
          <w:szCs w:val="22"/>
        </w:rPr>
      </w:pPr>
      <w:r w:rsidRPr="00CE1A77">
        <w:rPr>
          <w:rFonts w:asciiTheme="minorHAnsi" w:hAnsiTheme="minorHAnsi" w:cstheme="minorHAnsi"/>
          <w:sz w:val="22"/>
          <w:szCs w:val="22"/>
        </w:rPr>
        <w:t xml:space="preserve">Considérant que la Cour de Justice de l’Union Européenne et, en particulier, l'arrêt </w:t>
      </w:r>
      <w:proofErr w:type="spellStart"/>
      <w:r w:rsidRPr="00CE1A77">
        <w:rPr>
          <w:rFonts w:asciiTheme="minorHAnsi" w:hAnsiTheme="minorHAnsi" w:cstheme="minorHAnsi"/>
          <w:sz w:val="22"/>
          <w:szCs w:val="22"/>
        </w:rPr>
        <w:t>Teckal</w:t>
      </w:r>
      <w:proofErr w:type="spellEnd"/>
      <w:r w:rsidRPr="00CE1A77">
        <w:rPr>
          <w:rFonts w:asciiTheme="minorHAnsi" w:hAnsiTheme="minorHAnsi" w:cstheme="minorHAnsi"/>
          <w:sz w:val="22"/>
          <w:szCs w:val="22"/>
        </w:rPr>
        <w:t xml:space="preserve"> (</w:t>
      </w:r>
      <w:r w:rsidRPr="00CE1A77">
        <w:rPr>
          <w:rFonts w:asciiTheme="minorHAnsi" w:hAnsiTheme="minorHAnsi" w:cstheme="minorHAnsi"/>
          <w:bCs/>
          <w:sz w:val="22"/>
          <w:szCs w:val="22"/>
          <w:lang w:val="fr-BE"/>
        </w:rPr>
        <w:t>18 novembre 1999/</w:t>
      </w:r>
      <w:proofErr w:type="spellStart"/>
      <w:r w:rsidRPr="00CE1A77">
        <w:rPr>
          <w:rFonts w:asciiTheme="minorHAnsi" w:hAnsiTheme="minorHAnsi" w:cstheme="minorHAnsi"/>
          <w:bCs/>
          <w:sz w:val="22"/>
          <w:szCs w:val="22"/>
          <w:lang w:val="fr-BE"/>
        </w:rPr>
        <w:t>aff.</w:t>
      </w:r>
      <w:proofErr w:type="spellEnd"/>
      <w:r w:rsidRPr="00CE1A77">
        <w:rPr>
          <w:rFonts w:asciiTheme="minorHAnsi" w:hAnsiTheme="minorHAnsi" w:cstheme="minorHAnsi"/>
          <w:bCs/>
          <w:sz w:val="22"/>
          <w:szCs w:val="22"/>
          <w:lang w:val="fr-BE"/>
        </w:rPr>
        <w:t xml:space="preserve"> C-107/98, point 50) </w:t>
      </w:r>
      <w:r w:rsidRPr="00CE1A77">
        <w:rPr>
          <w:rFonts w:asciiTheme="minorHAnsi" w:hAnsiTheme="minorHAnsi" w:cstheme="minorHAnsi"/>
          <w:sz w:val="22"/>
          <w:szCs w:val="22"/>
        </w:rPr>
        <w:t>a consacré le principe selon lequel "les contrats entre personnes de droit public sont en principe soumis à la règlementation des marchés publics. Lorsqu'un pouvoir public décide de recourir à des structures décentralisées pour effectuer une mission déterminée, et cela, sur le mode du contrat, elle ne peut le faire qu'après une mise en concurrence" ;</w:t>
      </w:r>
    </w:p>
    <w:p w:rsidR="009D2C2B" w:rsidRPr="00CE1A77" w:rsidRDefault="009D2C2B" w:rsidP="000B748C">
      <w:pPr>
        <w:pStyle w:val="Notedebasdepage"/>
        <w:jc w:val="both"/>
        <w:rPr>
          <w:rFonts w:asciiTheme="minorHAnsi" w:hAnsiTheme="minorHAnsi" w:cstheme="minorHAnsi"/>
          <w:sz w:val="22"/>
          <w:szCs w:val="22"/>
        </w:rPr>
      </w:pPr>
    </w:p>
    <w:p w:rsidR="001E6317" w:rsidRPr="00CE1A77" w:rsidRDefault="001E6317" w:rsidP="000B748C">
      <w:pPr>
        <w:pStyle w:val="Notedebasdepage"/>
        <w:jc w:val="both"/>
        <w:rPr>
          <w:rFonts w:asciiTheme="minorHAnsi" w:hAnsiTheme="minorHAnsi" w:cstheme="minorHAnsi"/>
          <w:sz w:val="22"/>
          <w:szCs w:val="22"/>
        </w:rPr>
      </w:pPr>
      <w:r w:rsidRPr="00CE1A77">
        <w:rPr>
          <w:rFonts w:asciiTheme="minorHAnsi" w:hAnsiTheme="minorHAnsi" w:cstheme="minorHAnsi"/>
          <w:sz w:val="22"/>
          <w:szCs w:val="22"/>
        </w:rPr>
        <w:t>Considérant cependant que la Cour de Justice de l’Union Européenne, dans divers arrêts, a reconnu qu'une mise en concurrence n'est pas obligatoire pour autant que:</w:t>
      </w:r>
    </w:p>
    <w:p w:rsidR="001E6317" w:rsidRPr="00CE1A77" w:rsidRDefault="001E6317" w:rsidP="000B748C">
      <w:pPr>
        <w:pStyle w:val="Notedebasdepage"/>
        <w:ind w:left="360" w:hanging="360"/>
        <w:jc w:val="both"/>
        <w:rPr>
          <w:rFonts w:asciiTheme="minorHAnsi" w:hAnsiTheme="minorHAnsi" w:cstheme="minorHAnsi"/>
          <w:sz w:val="22"/>
          <w:szCs w:val="22"/>
        </w:rPr>
      </w:pPr>
      <w:r w:rsidRPr="00CE1A77">
        <w:rPr>
          <w:rFonts w:asciiTheme="minorHAnsi" w:hAnsiTheme="minorHAnsi" w:cstheme="minorHAnsi"/>
          <w:sz w:val="22"/>
          <w:szCs w:val="22"/>
        </w:rPr>
        <w:t xml:space="preserve">- </w:t>
      </w:r>
      <w:r w:rsidRPr="00CE1A77">
        <w:rPr>
          <w:rFonts w:asciiTheme="minorHAnsi" w:hAnsiTheme="minorHAnsi" w:cstheme="minorHAnsi"/>
          <w:sz w:val="22"/>
          <w:szCs w:val="22"/>
        </w:rPr>
        <w:tab/>
        <w:t>l'adjudicateur (= la commune) exerce sur l'entité distincte (= l'intercommunale) un contrôle analogue à celui qu'elle exerce sur ses propres services ;</w:t>
      </w:r>
    </w:p>
    <w:p w:rsidR="001E6317" w:rsidRPr="00CE1A77" w:rsidRDefault="001E6317" w:rsidP="000B748C">
      <w:pPr>
        <w:pStyle w:val="Notedebasdepage"/>
        <w:ind w:left="360" w:hanging="360"/>
        <w:jc w:val="both"/>
        <w:rPr>
          <w:rFonts w:asciiTheme="minorHAnsi" w:hAnsiTheme="minorHAnsi" w:cstheme="minorHAnsi"/>
          <w:sz w:val="22"/>
          <w:szCs w:val="22"/>
        </w:rPr>
      </w:pPr>
      <w:r w:rsidRPr="00CE1A77">
        <w:rPr>
          <w:rFonts w:asciiTheme="minorHAnsi" w:hAnsiTheme="minorHAnsi" w:cstheme="minorHAnsi"/>
          <w:sz w:val="22"/>
          <w:szCs w:val="22"/>
        </w:rPr>
        <w:t xml:space="preserve">- </w:t>
      </w:r>
      <w:r w:rsidRPr="00CE1A77">
        <w:rPr>
          <w:rFonts w:asciiTheme="minorHAnsi" w:hAnsiTheme="minorHAnsi" w:cstheme="minorHAnsi"/>
          <w:sz w:val="22"/>
          <w:szCs w:val="22"/>
        </w:rPr>
        <w:tab/>
        <w:t>cette entité (= l'intercommunale) réalise l'essentiel de son activité avec la ou les autorités publiques qui la détiennent.</w:t>
      </w:r>
    </w:p>
    <w:p w:rsidR="00905A9C" w:rsidRPr="00CE1A77" w:rsidRDefault="00905A9C" w:rsidP="00905A9C">
      <w:pPr>
        <w:pStyle w:val="Notedebasdepage"/>
        <w:jc w:val="both"/>
        <w:rPr>
          <w:rFonts w:asciiTheme="minorHAnsi" w:hAnsiTheme="minorHAnsi" w:cstheme="minorHAnsi"/>
          <w:sz w:val="22"/>
          <w:szCs w:val="22"/>
        </w:rPr>
      </w:pPr>
    </w:p>
    <w:p w:rsidR="00905A9C" w:rsidRPr="00CE1A77" w:rsidRDefault="00905A9C" w:rsidP="00905A9C">
      <w:pPr>
        <w:pStyle w:val="Notedebasdepage"/>
        <w:jc w:val="both"/>
        <w:rPr>
          <w:rFonts w:asciiTheme="minorHAnsi" w:hAnsiTheme="minorHAnsi" w:cstheme="minorHAnsi"/>
          <w:sz w:val="22"/>
          <w:szCs w:val="22"/>
        </w:rPr>
      </w:pPr>
      <w:r w:rsidRPr="00CE1A77">
        <w:rPr>
          <w:rFonts w:asciiTheme="minorHAnsi" w:hAnsiTheme="minorHAnsi" w:cstheme="minorHAnsi"/>
          <w:sz w:val="22"/>
          <w:szCs w:val="22"/>
        </w:rPr>
        <w:t xml:space="preserve">Considérant qu’au travers de l’affiliation de la </w:t>
      </w:r>
      <w:r w:rsidRPr="00CE1A77">
        <w:rPr>
          <w:rFonts w:asciiTheme="minorHAnsi" w:hAnsiTheme="minorHAnsi" w:cstheme="minorHAnsi"/>
          <w:sz w:val="22"/>
          <w:szCs w:val="22"/>
          <w:highlight w:val="yellow"/>
        </w:rPr>
        <w:t>Ville/Commune de …</w:t>
      </w:r>
      <w:r w:rsidRPr="00CE1A77">
        <w:rPr>
          <w:rFonts w:asciiTheme="minorHAnsi" w:hAnsiTheme="minorHAnsi" w:cstheme="minorHAnsi"/>
          <w:sz w:val="22"/>
          <w:szCs w:val="22"/>
        </w:rPr>
        <w:t xml:space="preserve"> aux intercommunales CENEO et </w:t>
      </w:r>
      <w:r w:rsidRPr="00CE1A77">
        <w:rPr>
          <w:rFonts w:asciiTheme="minorHAnsi" w:hAnsiTheme="minorHAnsi" w:cstheme="minorHAnsi"/>
          <w:sz w:val="22"/>
          <w:szCs w:val="22"/>
          <w:highlight w:val="yellow"/>
        </w:rPr>
        <w:t>IGRETEC/IDEA/IDETA</w:t>
      </w:r>
      <w:r w:rsidRPr="00CE1A77">
        <w:rPr>
          <w:rFonts w:asciiTheme="minorHAnsi" w:hAnsiTheme="minorHAnsi" w:cstheme="minorHAnsi"/>
          <w:sz w:val="22"/>
          <w:szCs w:val="22"/>
        </w:rPr>
        <w:t xml:space="preserve"> </w:t>
      </w:r>
      <w:r w:rsidR="00265A03" w:rsidRPr="00CE1A77">
        <w:rPr>
          <w:rFonts w:asciiTheme="minorHAnsi" w:hAnsiTheme="minorHAnsi" w:cstheme="minorHAnsi"/>
          <w:sz w:val="22"/>
          <w:szCs w:val="22"/>
        </w:rPr>
        <w:t>les</w:t>
      </w:r>
      <w:r w:rsidRPr="00CE1A77">
        <w:rPr>
          <w:rFonts w:asciiTheme="minorHAnsi" w:hAnsiTheme="minorHAnsi" w:cstheme="minorHAnsi"/>
          <w:sz w:val="22"/>
          <w:szCs w:val="22"/>
        </w:rPr>
        <w:t xml:space="preserve"> </w:t>
      </w:r>
      <w:r w:rsidR="00265A03" w:rsidRPr="00CE1A77">
        <w:rPr>
          <w:rFonts w:asciiTheme="minorHAnsi" w:hAnsiTheme="minorHAnsi" w:cstheme="minorHAnsi"/>
          <w:sz w:val="22"/>
          <w:szCs w:val="22"/>
        </w:rPr>
        <w:t>critères « </w:t>
      </w:r>
      <w:r w:rsidRPr="00CE1A77">
        <w:rPr>
          <w:rFonts w:asciiTheme="minorHAnsi" w:hAnsiTheme="minorHAnsi" w:cstheme="minorHAnsi"/>
          <w:sz w:val="22"/>
          <w:szCs w:val="22"/>
        </w:rPr>
        <w:t>du contrôle analogue</w:t>
      </w:r>
      <w:r w:rsidR="00265A03" w:rsidRPr="00CE1A77">
        <w:rPr>
          <w:rFonts w:asciiTheme="minorHAnsi" w:hAnsiTheme="minorHAnsi" w:cstheme="minorHAnsi"/>
          <w:sz w:val="22"/>
          <w:szCs w:val="22"/>
        </w:rPr>
        <w:t> » et « de l’essentiel de l’activité avec les associés » sont</w:t>
      </w:r>
      <w:r w:rsidRPr="00CE1A77">
        <w:rPr>
          <w:rFonts w:asciiTheme="minorHAnsi" w:hAnsiTheme="minorHAnsi" w:cstheme="minorHAnsi"/>
          <w:sz w:val="22"/>
          <w:szCs w:val="22"/>
        </w:rPr>
        <w:t xml:space="preserve"> respecté</w:t>
      </w:r>
      <w:r w:rsidR="00265A03" w:rsidRPr="00CE1A77">
        <w:rPr>
          <w:rFonts w:asciiTheme="minorHAnsi" w:hAnsiTheme="minorHAnsi" w:cstheme="minorHAnsi"/>
          <w:sz w:val="22"/>
          <w:szCs w:val="22"/>
        </w:rPr>
        <w:t>s</w:t>
      </w:r>
      <w:r w:rsidRPr="00CE1A77">
        <w:rPr>
          <w:rFonts w:asciiTheme="minorHAnsi" w:hAnsiTheme="minorHAnsi" w:cstheme="minorHAnsi"/>
          <w:sz w:val="22"/>
          <w:szCs w:val="22"/>
        </w:rPr>
        <w:t>.</w:t>
      </w:r>
    </w:p>
    <w:p w:rsidR="001E6317" w:rsidRPr="00CE1A77" w:rsidRDefault="001E6317" w:rsidP="000B748C">
      <w:pPr>
        <w:pStyle w:val="Notedebasdepage"/>
        <w:jc w:val="both"/>
        <w:rPr>
          <w:rFonts w:asciiTheme="minorHAnsi" w:hAnsiTheme="minorHAnsi" w:cstheme="minorHAnsi"/>
          <w:sz w:val="22"/>
          <w:szCs w:val="22"/>
        </w:rPr>
      </w:pPr>
    </w:p>
    <w:p w:rsidR="001E6317" w:rsidRPr="00CE1A77" w:rsidRDefault="001E6317" w:rsidP="000B748C">
      <w:pPr>
        <w:pStyle w:val="Notedebasdepage"/>
        <w:jc w:val="both"/>
        <w:rPr>
          <w:rFonts w:asciiTheme="minorHAnsi" w:hAnsiTheme="minorHAnsi" w:cstheme="minorHAnsi"/>
          <w:sz w:val="22"/>
          <w:szCs w:val="22"/>
        </w:rPr>
      </w:pPr>
      <w:r w:rsidRPr="00CE1A77">
        <w:rPr>
          <w:rFonts w:asciiTheme="minorHAnsi" w:hAnsiTheme="minorHAnsi" w:cstheme="minorHAnsi"/>
          <w:sz w:val="22"/>
          <w:szCs w:val="22"/>
        </w:rPr>
        <w:t xml:space="preserve">Considérant que plusieurs arrêts sont intervenus visant à préciser les critères du "in house" énoncés par la Cour dans cet arrêt de principe ; que, dans la mesure où la relation « in </w:t>
      </w:r>
      <w:r w:rsidRPr="00CE1A77">
        <w:rPr>
          <w:rFonts w:asciiTheme="minorHAnsi" w:hAnsiTheme="minorHAnsi" w:cstheme="minorHAnsi"/>
          <w:sz w:val="22"/>
          <w:szCs w:val="22"/>
        </w:rPr>
        <w:lastRenderedPageBreak/>
        <w:t xml:space="preserve">house » constitue une exception aux règles générales du droit communautaire, "les deux conditions doivent faire l'objet d'une interprétation stricte et c'est à celui qui entend s'en prévaloir qu'incombe la charge de la preuve que les circonstances exceptionnelles justifiant la dérogation auxdites règles existent effectivement" (arrêt </w:t>
      </w:r>
      <w:proofErr w:type="spellStart"/>
      <w:r w:rsidRPr="00CE1A77">
        <w:rPr>
          <w:rFonts w:asciiTheme="minorHAnsi" w:hAnsiTheme="minorHAnsi" w:cstheme="minorHAnsi"/>
          <w:sz w:val="22"/>
          <w:szCs w:val="22"/>
        </w:rPr>
        <w:t>Coname</w:t>
      </w:r>
      <w:proofErr w:type="spellEnd"/>
      <w:r w:rsidRPr="00CE1A77">
        <w:rPr>
          <w:rFonts w:asciiTheme="minorHAnsi" w:hAnsiTheme="minorHAnsi" w:cstheme="minorHAnsi"/>
          <w:sz w:val="22"/>
          <w:szCs w:val="22"/>
        </w:rPr>
        <w:t>, point 63) ;</w:t>
      </w:r>
    </w:p>
    <w:p w:rsidR="00265A03" w:rsidRPr="00CE1A77" w:rsidRDefault="00265A03" w:rsidP="000B748C">
      <w:pPr>
        <w:pStyle w:val="Notedebasdepage"/>
        <w:jc w:val="both"/>
        <w:rPr>
          <w:rFonts w:asciiTheme="minorHAnsi" w:hAnsiTheme="minorHAnsi" w:cstheme="minorHAnsi"/>
          <w:sz w:val="22"/>
          <w:szCs w:val="22"/>
        </w:rPr>
      </w:pPr>
    </w:p>
    <w:p w:rsidR="00265A03" w:rsidRPr="00CE1A77" w:rsidRDefault="00265A03" w:rsidP="00265A03">
      <w:pPr>
        <w:pStyle w:val="Notedebasdepage"/>
        <w:jc w:val="both"/>
        <w:rPr>
          <w:rFonts w:asciiTheme="minorHAnsi" w:hAnsiTheme="minorHAnsi" w:cstheme="minorHAnsi"/>
          <w:sz w:val="22"/>
          <w:szCs w:val="22"/>
        </w:rPr>
      </w:pPr>
      <w:r w:rsidRPr="00CE1A77">
        <w:rPr>
          <w:rFonts w:asciiTheme="minorHAnsi" w:hAnsiTheme="minorHAnsi" w:cstheme="minorHAnsi"/>
          <w:sz w:val="22"/>
          <w:szCs w:val="22"/>
        </w:rPr>
        <w:t xml:space="preserve">Considérant que l’intercommunale </w:t>
      </w:r>
      <w:r w:rsidRPr="00CE1A77">
        <w:rPr>
          <w:rFonts w:asciiTheme="minorHAnsi" w:hAnsiTheme="minorHAnsi" w:cstheme="minorHAnsi"/>
          <w:sz w:val="22"/>
          <w:szCs w:val="22"/>
          <w:highlight w:val="yellow"/>
        </w:rPr>
        <w:t>IDEA/IDETA/IGRETEC</w:t>
      </w:r>
      <w:r w:rsidRPr="00CE1A77">
        <w:rPr>
          <w:rFonts w:asciiTheme="minorHAnsi" w:hAnsiTheme="minorHAnsi" w:cstheme="minorHAnsi"/>
          <w:sz w:val="22"/>
          <w:szCs w:val="22"/>
        </w:rPr>
        <w:t xml:space="preserve"> remplit les conditions fondant la relation dite « in house » avec ses associés ;</w:t>
      </w:r>
    </w:p>
    <w:p w:rsidR="00143AB5" w:rsidRPr="00CE1A77" w:rsidRDefault="00143AB5" w:rsidP="000B748C">
      <w:pPr>
        <w:pStyle w:val="Notedebasdepage"/>
        <w:jc w:val="both"/>
        <w:rPr>
          <w:rFonts w:asciiTheme="minorHAnsi" w:hAnsiTheme="minorHAnsi" w:cstheme="minorHAnsi"/>
          <w:sz w:val="22"/>
          <w:szCs w:val="22"/>
        </w:rPr>
      </w:pPr>
    </w:p>
    <w:p w:rsidR="009D2C2B" w:rsidRPr="00CE1A77" w:rsidRDefault="009D2C2B" w:rsidP="009D2C2B">
      <w:pPr>
        <w:suppressAutoHyphens w:val="0"/>
        <w:jc w:val="both"/>
        <w:rPr>
          <w:rFonts w:asciiTheme="minorHAnsi" w:hAnsiTheme="minorHAnsi" w:cstheme="minorHAnsi"/>
          <w:sz w:val="22"/>
          <w:szCs w:val="22"/>
          <w:lang w:eastAsia="fr-FR"/>
        </w:rPr>
      </w:pPr>
      <w:r w:rsidRPr="00CE1A77">
        <w:rPr>
          <w:rFonts w:asciiTheme="minorHAnsi" w:hAnsiTheme="minorHAnsi" w:cstheme="minorHAnsi"/>
          <w:sz w:val="22"/>
          <w:szCs w:val="22"/>
          <w:lang w:eastAsia="fr-FR"/>
        </w:rPr>
        <w:t>Considérant l’article 31 de la loi du 17 juin 2016 relative aux marchés publics qui établit les règles relatives à la coopération horizontale non institutionnalisée. Comme l’explique le considérant 33 de la directive 2014/24/UE, “les pouvoirs adjudicateurs devraient en effet pouvoir choisir de fournir conjointement leurs services publics par la voie de la coopération, sans être contraints de recourir à une forme juridique particulière. Cette coopération pourrait porter sur tous les types d’activités liées à l’exécution de services et à l’exercice de responsabilités confiées aux pouvoirs adjudicateurs participants ou assumées par eux, telles que des missions obligatoires ou volontaires relevant d’autorités locales ou régionales ou des services confiés à des organismes particuliers par le droit public. Les services fournis par les différents pouvoirs adjudicateurs participants ne doivent pas nécessairement être identiques; ils pourraient également être complémentaires.</w:t>
      </w:r>
    </w:p>
    <w:p w:rsidR="009D2C2B" w:rsidRPr="00CE1A77" w:rsidRDefault="00905A9C" w:rsidP="009D2C2B">
      <w:pPr>
        <w:suppressAutoHyphens w:val="0"/>
        <w:jc w:val="both"/>
        <w:rPr>
          <w:rFonts w:asciiTheme="minorHAnsi" w:hAnsiTheme="minorHAnsi" w:cstheme="minorHAnsi"/>
          <w:sz w:val="22"/>
          <w:szCs w:val="22"/>
          <w:lang w:eastAsia="fr-FR"/>
        </w:rPr>
      </w:pPr>
      <w:r w:rsidRPr="00CE1A77">
        <w:rPr>
          <w:rFonts w:asciiTheme="minorHAnsi" w:hAnsiTheme="minorHAnsi" w:cstheme="minorHAnsi"/>
          <w:sz w:val="22"/>
          <w:szCs w:val="22"/>
          <w:lang w:eastAsia="fr-FR"/>
        </w:rPr>
        <w:t xml:space="preserve">Considérant qu’en </w:t>
      </w:r>
      <w:r w:rsidR="009D2C2B" w:rsidRPr="00CE1A77">
        <w:rPr>
          <w:rFonts w:asciiTheme="minorHAnsi" w:hAnsiTheme="minorHAnsi" w:cstheme="minorHAnsi"/>
          <w:sz w:val="22"/>
          <w:szCs w:val="22"/>
          <w:lang w:eastAsia="fr-FR"/>
        </w:rPr>
        <w:t>vertu de la présente disposition, les marchés concernant la fourniture conjointe de services publics ne sont pas soumis à l’application des règles établies dans la présente loi, à condition:</w:t>
      </w:r>
    </w:p>
    <w:p w:rsidR="009D2C2B" w:rsidRPr="00CE1A77" w:rsidRDefault="009D2C2B" w:rsidP="009D2C2B">
      <w:pPr>
        <w:suppressAutoHyphens w:val="0"/>
        <w:ind w:left="709" w:hanging="709"/>
        <w:jc w:val="both"/>
        <w:rPr>
          <w:rFonts w:asciiTheme="minorHAnsi" w:hAnsiTheme="minorHAnsi" w:cstheme="minorHAnsi"/>
          <w:sz w:val="22"/>
          <w:szCs w:val="22"/>
          <w:lang w:eastAsia="fr-FR"/>
        </w:rPr>
      </w:pPr>
      <w:r w:rsidRPr="00CE1A77">
        <w:rPr>
          <w:rFonts w:asciiTheme="minorHAnsi" w:hAnsiTheme="minorHAnsi" w:cstheme="minorHAnsi"/>
          <w:sz w:val="22"/>
          <w:szCs w:val="22"/>
          <w:lang w:eastAsia="fr-FR"/>
        </w:rPr>
        <w:t xml:space="preserve">1° </w:t>
      </w:r>
      <w:r w:rsidRPr="00CE1A77">
        <w:rPr>
          <w:rFonts w:asciiTheme="minorHAnsi" w:hAnsiTheme="minorHAnsi" w:cstheme="minorHAnsi"/>
          <w:sz w:val="22"/>
          <w:szCs w:val="22"/>
          <w:lang w:eastAsia="fr-FR"/>
        </w:rPr>
        <w:tab/>
        <w:t>qu’ils soient conclus exclusivement entre deux ou plusieurs pouvoirs adjudicateurs dans le but de garantir que les services publics dont ils doivent assurer la prestation sont réalisés en vue d’atteindre les objectifs qu’ils ont en commun.</w:t>
      </w:r>
    </w:p>
    <w:p w:rsidR="009D2C2B" w:rsidRPr="00CE1A77" w:rsidRDefault="009D2C2B" w:rsidP="009D2C2B">
      <w:pPr>
        <w:suppressAutoHyphens w:val="0"/>
        <w:autoSpaceDE w:val="0"/>
        <w:autoSpaceDN w:val="0"/>
        <w:adjustRightInd w:val="0"/>
        <w:ind w:left="709" w:hanging="709"/>
        <w:jc w:val="both"/>
        <w:rPr>
          <w:rFonts w:asciiTheme="minorHAnsi" w:hAnsiTheme="minorHAnsi" w:cstheme="minorHAnsi"/>
          <w:sz w:val="22"/>
          <w:szCs w:val="22"/>
          <w:lang w:eastAsia="fr-FR"/>
        </w:rPr>
      </w:pPr>
      <w:r w:rsidRPr="00CE1A77">
        <w:rPr>
          <w:rFonts w:asciiTheme="minorHAnsi" w:hAnsiTheme="minorHAnsi" w:cstheme="minorHAnsi"/>
          <w:sz w:val="22"/>
          <w:szCs w:val="22"/>
          <w:lang w:eastAsia="fr-FR"/>
        </w:rPr>
        <w:t>2°       il faut que la mise en œuvre de cette coopération n’obéisse qu’à des considérations d’intérêt public.</w:t>
      </w:r>
    </w:p>
    <w:p w:rsidR="009D2C2B" w:rsidRPr="00CE1A77" w:rsidRDefault="009D2C2B" w:rsidP="009D2C2B">
      <w:pPr>
        <w:suppressAutoHyphens w:val="0"/>
        <w:ind w:left="708" w:hanging="708"/>
        <w:jc w:val="both"/>
        <w:rPr>
          <w:rFonts w:asciiTheme="minorHAnsi" w:hAnsiTheme="minorHAnsi" w:cstheme="minorHAnsi"/>
          <w:sz w:val="22"/>
          <w:szCs w:val="22"/>
          <w:lang w:eastAsia="fr-FR"/>
        </w:rPr>
      </w:pPr>
      <w:r w:rsidRPr="00CE1A77">
        <w:rPr>
          <w:rFonts w:asciiTheme="minorHAnsi" w:hAnsiTheme="minorHAnsi" w:cstheme="minorHAnsi"/>
          <w:sz w:val="22"/>
          <w:szCs w:val="22"/>
          <w:lang w:eastAsia="fr-FR"/>
        </w:rPr>
        <w:t xml:space="preserve">3° </w:t>
      </w:r>
      <w:r w:rsidRPr="00CE1A77">
        <w:rPr>
          <w:rFonts w:asciiTheme="minorHAnsi" w:hAnsiTheme="minorHAnsi" w:cstheme="minorHAnsi"/>
          <w:sz w:val="22"/>
          <w:szCs w:val="22"/>
          <w:lang w:eastAsia="fr-FR"/>
        </w:rPr>
        <w:tab/>
        <w:t xml:space="preserve">et que les pouvoirs adjudicateurs participants réalisent sur le marché concurrentiel moins de 20 pour cent des activités concernées par la coopération. </w:t>
      </w:r>
    </w:p>
    <w:p w:rsidR="00143AB5" w:rsidRPr="00CE1A77" w:rsidRDefault="00143AB5" w:rsidP="000B748C">
      <w:pPr>
        <w:pStyle w:val="Notedebasdepage"/>
        <w:jc w:val="both"/>
        <w:rPr>
          <w:rFonts w:asciiTheme="minorHAnsi" w:hAnsiTheme="minorHAnsi" w:cstheme="minorHAnsi"/>
          <w:sz w:val="22"/>
          <w:szCs w:val="22"/>
        </w:rPr>
      </w:pPr>
    </w:p>
    <w:p w:rsidR="009D2C2B" w:rsidRPr="00CE1A77" w:rsidRDefault="009D2C2B" w:rsidP="009D2C2B">
      <w:pPr>
        <w:suppressAutoHyphens w:val="0"/>
        <w:autoSpaceDE w:val="0"/>
        <w:autoSpaceDN w:val="0"/>
        <w:adjustRightInd w:val="0"/>
        <w:spacing w:after="120"/>
        <w:jc w:val="both"/>
        <w:rPr>
          <w:rFonts w:asciiTheme="minorHAnsi" w:hAnsiTheme="minorHAnsi" w:cstheme="minorHAnsi"/>
          <w:sz w:val="22"/>
          <w:szCs w:val="22"/>
          <w:lang w:eastAsia="fr-FR"/>
        </w:rPr>
      </w:pPr>
      <w:r w:rsidRPr="00CE1A77">
        <w:rPr>
          <w:rFonts w:asciiTheme="minorHAnsi" w:hAnsiTheme="minorHAnsi" w:cstheme="minorHAnsi"/>
          <w:sz w:val="22"/>
          <w:szCs w:val="22"/>
          <w:lang w:eastAsia="fr-FR"/>
        </w:rPr>
        <w:t xml:space="preserve">Considérant que les associés publics de NEOVIA (CENEO, IDEA, IDETA et IGRETEC) ont institué, entre eux, au sein de cette dernière, une coopération horizontale non institutionnalisée au sens de l’article 12 de la Directive 2014/24/UE du Parlement européen et du Conseil du 26 février 2014 sur la passation des marchés publics et de l’article 31 de la loi </w:t>
      </w:r>
      <w:r w:rsidRPr="00CE1A77">
        <w:rPr>
          <w:rFonts w:asciiTheme="minorHAnsi" w:hAnsiTheme="minorHAnsi" w:cstheme="minorHAnsi"/>
          <w:sz w:val="22"/>
          <w:szCs w:val="22"/>
          <w:lang w:eastAsia="fr-FR"/>
        </w:rPr>
        <w:lastRenderedPageBreak/>
        <w:t xml:space="preserve">du 17 juin 2016 relative aux marchés publics, sous la forme juridique de Société coopérative. </w:t>
      </w:r>
    </w:p>
    <w:p w:rsidR="001E6317" w:rsidRPr="00CE1A77" w:rsidRDefault="001E6317" w:rsidP="000B748C">
      <w:pPr>
        <w:pStyle w:val="Notedebasdepage"/>
        <w:jc w:val="both"/>
        <w:rPr>
          <w:rFonts w:asciiTheme="minorHAnsi" w:hAnsiTheme="minorHAnsi" w:cstheme="minorHAnsi"/>
          <w:sz w:val="22"/>
          <w:szCs w:val="22"/>
        </w:rPr>
      </w:pPr>
    </w:p>
    <w:p w:rsidR="001E6317" w:rsidRPr="00CE1A77" w:rsidRDefault="001E6317" w:rsidP="000B748C">
      <w:pPr>
        <w:pStyle w:val="Notedebasdepage"/>
        <w:jc w:val="both"/>
        <w:rPr>
          <w:rFonts w:asciiTheme="minorHAnsi" w:hAnsiTheme="minorHAnsi" w:cstheme="minorHAnsi"/>
          <w:sz w:val="22"/>
          <w:szCs w:val="22"/>
        </w:rPr>
      </w:pPr>
      <w:r w:rsidRPr="00CE1A77">
        <w:rPr>
          <w:rFonts w:asciiTheme="minorHAnsi" w:hAnsiTheme="minorHAnsi" w:cstheme="minorHAnsi"/>
          <w:sz w:val="22"/>
          <w:szCs w:val="22"/>
        </w:rPr>
        <w:t xml:space="preserve">Considérant que </w:t>
      </w:r>
      <w:r w:rsidRPr="00CE1A77">
        <w:rPr>
          <w:rFonts w:asciiTheme="minorHAnsi" w:hAnsiTheme="minorHAnsi" w:cstheme="minorHAnsi"/>
          <w:sz w:val="22"/>
          <w:szCs w:val="22"/>
          <w:highlight w:val="yellow"/>
        </w:rPr>
        <w:t>la Ville/Commune de………</w:t>
      </w:r>
      <w:r w:rsidRPr="00CE1A77">
        <w:rPr>
          <w:rFonts w:asciiTheme="minorHAnsi" w:hAnsiTheme="minorHAnsi" w:cstheme="minorHAnsi"/>
          <w:sz w:val="22"/>
          <w:szCs w:val="22"/>
        </w:rPr>
        <w:t xml:space="preserve"> peut donc, en toute légalité, recourir aux services de </w:t>
      </w:r>
      <w:r w:rsidR="00265A03" w:rsidRPr="00CE1A77">
        <w:rPr>
          <w:rFonts w:asciiTheme="minorHAnsi" w:hAnsiTheme="minorHAnsi" w:cstheme="minorHAnsi"/>
          <w:sz w:val="22"/>
          <w:szCs w:val="22"/>
        </w:rPr>
        <w:t>NEOVIA</w:t>
      </w:r>
      <w:r w:rsidRPr="00CE1A77">
        <w:rPr>
          <w:rFonts w:asciiTheme="minorHAnsi" w:hAnsiTheme="minorHAnsi" w:cstheme="minorHAnsi"/>
          <w:sz w:val="22"/>
          <w:szCs w:val="22"/>
        </w:rPr>
        <w:t>, et ce, sans mise en concurrence préalable ;</w:t>
      </w:r>
    </w:p>
    <w:p w:rsidR="001E6317" w:rsidRPr="00CE1A77" w:rsidRDefault="001E6317" w:rsidP="000B748C">
      <w:pPr>
        <w:pStyle w:val="Notedebasdepage"/>
        <w:jc w:val="both"/>
        <w:rPr>
          <w:rFonts w:asciiTheme="minorHAnsi" w:hAnsiTheme="minorHAnsi" w:cstheme="minorHAnsi"/>
          <w:sz w:val="22"/>
          <w:szCs w:val="22"/>
        </w:rPr>
      </w:pPr>
    </w:p>
    <w:p w:rsidR="001E6317" w:rsidRPr="00CE1A77" w:rsidRDefault="001E6317" w:rsidP="000B748C">
      <w:pPr>
        <w:jc w:val="both"/>
        <w:rPr>
          <w:rFonts w:asciiTheme="minorHAnsi" w:hAnsiTheme="minorHAnsi" w:cstheme="minorHAnsi"/>
          <w:sz w:val="22"/>
          <w:szCs w:val="22"/>
          <w:lang w:val="fr-BE"/>
        </w:rPr>
      </w:pPr>
      <w:r w:rsidRPr="00CE1A77">
        <w:rPr>
          <w:rFonts w:asciiTheme="minorHAnsi" w:hAnsiTheme="minorHAnsi" w:cstheme="minorHAnsi"/>
          <w:sz w:val="22"/>
          <w:szCs w:val="22"/>
          <w:lang w:val="fr-BE"/>
        </w:rPr>
        <w:t xml:space="preserve">Considérant que </w:t>
      </w:r>
      <w:r w:rsidRPr="00CE1A77">
        <w:rPr>
          <w:rFonts w:asciiTheme="minorHAnsi" w:hAnsiTheme="minorHAnsi" w:cstheme="minorHAnsi"/>
          <w:sz w:val="22"/>
          <w:szCs w:val="22"/>
          <w:highlight w:val="yellow"/>
          <w:lang w:val="fr-BE"/>
        </w:rPr>
        <w:t>la Ville/</w:t>
      </w:r>
      <w:r w:rsidRPr="00CE1A77">
        <w:rPr>
          <w:rFonts w:asciiTheme="minorHAnsi" w:hAnsiTheme="minorHAnsi" w:cstheme="minorHAnsi"/>
          <w:sz w:val="22"/>
          <w:szCs w:val="22"/>
          <w:highlight w:val="yellow"/>
        </w:rPr>
        <w:t>Commune de………</w:t>
      </w:r>
      <w:r w:rsidRPr="00CE1A77">
        <w:rPr>
          <w:rFonts w:asciiTheme="minorHAnsi" w:hAnsiTheme="minorHAnsi" w:cstheme="minorHAnsi"/>
          <w:sz w:val="22"/>
          <w:szCs w:val="22"/>
          <w:highlight w:val="yellow"/>
          <w:lang w:val="fr-BE"/>
        </w:rPr>
        <w:t>,</w:t>
      </w:r>
      <w:r w:rsidRPr="00CE1A77">
        <w:rPr>
          <w:rFonts w:asciiTheme="minorHAnsi" w:hAnsiTheme="minorHAnsi" w:cstheme="minorHAnsi"/>
          <w:sz w:val="22"/>
          <w:szCs w:val="22"/>
          <w:lang w:val="fr-BE"/>
        </w:rPr>
        <w:t xml:space="preserve"> </w:t>
      </w:r>
      <w:r w:rsidR="00493772" w:rsidRPr="00CE1A77">
        <w:rPr>
          <w:rFonts w:asciiTheme="minorHAnsi" w:hAnsiTheme="minorHAnsi" w:cstheme="minorHAnsi"/>
          <w:sz w:val="22"/>
          <w:szCs w:val="22"/>
          <w:lang w:val="fr-BE"/>
        </w:rPr>
        <w:t>au vu de l</w:t>
      </w:r>
      <w:r w:rsidRPr="00CE1A77">
        <w:rPr>
          <w:rFonts w:asciiTheme="minorHAnsi" w:hAnsiTheme="minorHAnsi" w:cstheme="minorHAnsi"/>
          <w:sz w:val="22"/>
          <w:szCs w:val="22"/>
          <w:lang w:val="fr-BE"/>
        </w:rPr>
        <w:t>a part très importante de la charge énergétique dans son budget et des défis énergétiques, n’a que des moyens limités p</w:t>
      </w:r>
      <w:r w:rsidR="00265A03" w:rsidRPr="00CE1A77">
        <w:rPr>
          <w:rFonts w:asciiTheme="minorHAnsi" w:hAnsiTheme="minorHAnsi" w:cstheme="minorHAnsi"/>
          <w:sz w:val="22"/>
          <w:szCs w:val="22"/>
          <w:lang w:val="fr-BE"/>
        </w:rPr>
        <w:t>our investir massivement dans la production d’énergie renouvelable et durable</w:t>
      </w:r>
      <w:r w:rsidRPr="00CE1A77">
        <w:rPr>
          <w:rFonts w:asciiTheme="minorHAnsi" w:hAnsiTheme="minorHAnsi" w:cstheme="minorHAnsi"/>
          <w:sz w:val="22"/>
          <w:szCs w:val="22"/>
          <w:lang w:val="fr-BE"/>
        </w:rPr>
        <w:t xml:space="preserve"> ; </w:t>
      </w:r>
    </w:p>
    <w:p w:rsidR="001E6317" w:rsidRPr="00CE1A77" w:rsidRDefault="001E6317" w:rsidP="000B748C">
      <w:pPr>
        <w:jc w:val="both"/>
        <w:rPr>
          <w:rFonts w:asciiTheme="minorHAnsi" w:hAnsiTheme="minorHAnsi" w:cstheme="minorHAnsi"/>
          <w:sz w:val="22"/>
          <w:szCs w:val="22"/>
          <w:lang w:val="fr-BE"/>
        </w:rPr>
      </w:pPr>
    </w:p>
    <w:p w:rsidR="001E6317" w:rsidRPr="00CE1A77" w:rsidRDefault="001E6317" w:rsidP="000B748C">
      <w:pPr>
        <w:jc w:val="both"/>
        <w:rPr>
          <w:rFonts w:asciiTheme="minorHAnsi" w:hAnsiTheme="minorHAnsi" w:cstheme="minorHAnsi"/>
          <w:sz w:val="22"/>
          <w:szCs w:val="22"/>
          <w:lang w:val="fr-BE"/>
        </w:rPr>
      </w:pPr>
      <w:r w:rsidRPr="00CE1A77">
        <w:rPr>
          <w:rFonts w:asciiTheme="minorHAnsi" w:hAnsiTheme="minorHAnsi" w:cstheme="minorHAnsi"/>
          <w:sz w:val="22"/>
          <w:szCs w:val="22"/>
          <w:lang w:val="fr-BE"/>
        </w:rPr>
        <w:t>Considérant qu</w:t>
      </w:r>
      <w:r w:rsidR="00265A03" w:rsidRPr="00CE1A77">
        <w:rPr>
          <w:rFonts w:asciiTheme="minorHAnsi" w:hAnsiTheme="minorHAnsi" w:cstheme="minorHAnsi"/>
          <w:sz w:val="22"/>
          <w:szCs w:val="22"/>
          <w:lang w:val="fr-BE"/>
        </w:rPr>
        <w:t>e NEOVIA</w:t>
      </w:r>
      <w:r w:rsidRPr="00CE1A77">
        <w:rPr>
          <w:rFonts w:asciiTheme="minorHAnsi" w:hAnsiTheme="minorHAnsi" w:cstheme="minorHAnsi"/>
          <w:sz w:val="22"/>
          <w:szCs w:val="22"/>
          <w:lang w:val="fr-BE"/>
        </w:rPr>
        <w:t xml:space="preserve"> propose d’accompagner </w:t>
      </w:r>
      <w:r w:rsidRPr="00CE1A77">
        <w:rPr>
          <w:rFonts w:asciiTheme="minorHAnsi" w:hAnsiTheme="minorHAnsi" w:cstheme="minorHAnsi"/>
          <w:sz w:val="22"/>
          <w:szCs w:val="22"/>
          <w:highlight w:val="yellow"/>
          <w:lang w:val="fr-BE"/>
        </w:rPr>
        <w:t>la Ville/</w:t>
      </w:r>
      <w:r w:rsidRPr="00CE1A77">
        <w:rPr>
          <w:rFonts w:asciiTheme="minorHAnsi" w:hAnsiTheme="minorHAnsi" w:cstheme="minorHAnsi"/>
          <w:sz w:val="22"/>
          <w:szCs w:val="22"/>
          <w:highlight w:val="yellow"/>
        </w:rPr>
        <w:t>Commune de</w:t>
      </w:r>
      <w:proofErr w:type="gramStart"/>
      <w:r w:rsidRPr="00CE1A77">
        <w:rPr>
          <w:rFonts w:asciiTheme="minorHAnsi" w:hAnsiTheme="minorHAnsi" w:cstheme="minorHAnsi"/>
          <w:sz w:val="22"/>
          <w:szCs w:val="22"/>
          <w:highlight w:val="yellow"/>
        </w:rPr>
        <w:t>…….</w:t>
      </w:r>
      <w:proofErr w:type="gramEnd"/>
      <w:r w:rsidRPr="00CE1A77">
        <w:rPr>
          <w:rFonts w:asciiTheme="minorHAnsi" w:hAnsiTheme="minorHAnsi" w:cstheme="minorHAnsi"/>
          <w:sz w:val="22"/>
          <w:szCs w:val="22"/>
          <w:highlight w:val="yellow"/>
        </w:rPr>
        <w:t>.</w:t>
      </w:r>
      <w:r w:rsidRPr="00CE1A77">
        <w:rPr>
          <w:rFonts w:asciiTheme="minorHAnsi" w:hAnsiTheme="minorHAnsi" w:cstheme="minorHAnsi"/>
          <w:sz w:val="22"/>
          <w:szCs w:val="22"/>
          <w:lang w:val="fr-BE"/>
        </w:rPr>
        <w:t>, dans la mi</w:t>
      </w:r>
      <w:r w:rsidR="00265A03" w:rsidRPr="00CE1A77">
        <w:rPr>
          <w:rFonts w:asciiTheme="minorHAnsi" w:hAnsiTheme="minorHAnsi" w:cstheme="minorHAnsi"/>
          <w:sz w:val="22"/>
          <w:szCs w:val="22"/>
          <w:lang w:val="fr-BE"/>
        </w:rPr>
        <w:t>se en œuvre et le financement de moyens de production d’énergie renouvelable et durable</w:t>
      </w:r>
      <w:r w:rsidRPr="00CE1A77">
        <w:rPr>
          <w:rFonts w:asciiTheme="minorHAnsi" w:hAnsiTheme="minorHAnsi" w:cstheme="minorHAnsi"/>
          <w:sz w:val="22"/>
          <w:szCs w:val="22"/>
          <w:lang w:val="fr-BE"/>
        </w:rPr>
        <w:t> ;</w:t>
      </w:r>
    </w:p>
    <w:p w:rsidR="001E6317" w:rsidRPr="00CE1A77" w:rsidRDefault="001E6317" w:rsidP="000B748C">
      <w:pPr>
        <w:jc w:val="both"/>
        <w:rPr>
          <w:rFonts w:asciiTheme="minorHAnsi" w:hAnsiTheme="minorHAnsi" w:cstheme="minorHAnsi"/>
          <w:sz w:val="22"/>
          <w:szCs w:val="22"/>
          <w:lang w:val="fr-BE"/>
        </w:rPr>
      </w:pPr>
    </w:p>
    <w:p w:rsidR="001E6317" w:rsidRPr="00CE1A77" w:rsidRDefault="001F6C58" w:rsidP="000B748C">
      <w:pPr>
        <w:jc w:val="both"/>
        <w:rPr>
          <w:rFonts w:asciiTheme="minorHAnsi" w:hAnsiTheme="minorHAnsi" w:cstheme="minorHAnsi"/>
          <w:sz w:val="22"/>
          <w:szCs w:val="22"/>
          <w:lang w:val="fr-BE"/>
        </w:rPr>
      </w:pPr>
      <w:r w:rsidRPr="00CE1A77">
        <w:rPr>
          <w:rFonts w:asciiTheme="minorHAnsi" w:hAnsiTheme="minorHAnsi" w:cstheme="minorHAnsi"/>
          <w:sz w:val="22"/>
          <w:szCs w:val="22"/>
          <w:lang w:val="fr-BE"/>
        </w:rPr>
        <w:t>Considérant que NEOVIA</w:t>
      </w:r>
      <w:r w:rsidR="001E6317" w:rsidRPr="00CE1A77">
        <w:rPr>
          <w:rFonts w:asciiTheme="minorHAnsi" w:hAnsiTheme="minorHAnsi" w:cstheme="minorHAnsi"/>
          <w:sz w:val="22"/>
          <w:szCs w:val="22"/>
          <w:lang w:val="fr-BE"/>
        </w:rPr>
        <w:t xml:space="preserve"> propose de financer des investissements </w:t>
      </w:r>
      <w:r w:rsidRPr="00CE1A77">
        <w:rPr>
          <w:rFonts w:asciiTheme="minorHAnsi" w:hAnsiTheme="minorHAnsi" w:cstheme="minorHAnsi"/>
          <w:sz w:val="22"/>
          <w:szCs w:val="22"/>
          <w:lang w:val="fr-BE"/>
        </w:rPr>
        <w:t>producteurs d’énergie renouvelable et durable</w:t>
      </w:r>
      <w:r w:rsidR="001E6317" w:rsidRPr="00CE1A77">
        <w:rPr>
          <w:rFonts w:asciiTheme="minorHAnsi" w:hAnsiTheme="minorHAnsi" w:cstheme="minorHAnsi"/>
          <w:sz w:val="22"/>
          <w:szCs w:val="22"/>
          <w:lang w:val="fr-BE"/>
        </w:rPr>
        <w:t xml:space="preserve"> au sein du patrimoine immobilier de </w:t>
      </w:r>
      <w:r w:rsidR="001E6317" w:rsidRPr="00CE1A77">
        <w:rPr>
          <w:rFonts w:asciiTheme="minorHAnsi" w:hAnsiTheme="minorHAnsi" w:cstheme="minorHAnsi"/>
          <w:sz w:val="22"/>
          <w:szCs w:val="22"/>
          <w:highlight w:val="yellow"/>
          <w:lang w:val="fr-BE"/>
        </w:rPr>
        <w:t>la Ville/</w:t>
      </w:r>
      <w:r w:rsidR="001E6317" w:rsidRPr="00CE1A77">
        <w:rPr>
          <w:rFonts w:asciiTheme="minorHAnsi" w:hAnsiTheme="minorHAnsi" w:cstheme="minorHAnsi"/>
          <w:sz w:val="22"/>
          <w:szCs w:val="22"/>
          <w:highlight w:val="yellow"/>
        </w:rPr>
        <w:t>Commune de</w:t>
      </w:r>
      <w:proofErr w:type="gramStart"/>
      <w:r w:rsidR="001E6317" w:rsidRPr="00CE1A77">
        <w:rPr>
          <w:rFonts w:asciiTheme="minorHAnsi" w:hAnsiTheme="minorHAnsi" w:cstheme="minorHAnsi"/>
          <w:sz w:val="22"/>
          <w:szCs w:val="22"/>
          <w:highlight w:val="yellow"/>
        </w:rPr>
        <w:t>…….</w:t>
      </w:r>
      <w:proofErr w:type="gramEnd"/>
      <w:r w:rsidR="001E6317" w:rsidRPr="00CE1A77">
        <w:rPr>
          <w:rFonts w:asciiTheme="minorHAnsi" w:hAnsiTheme="minorHAnsi" w:cstheme="minorHAnsi"/>
          <w:sz w:val="22"/>
          <w:szCs w:val="22"/>
          <w:highlight w:val="yellow"/>
        </w:rPr>
        <w:t>.</w:t>
      </w:r>
      <w:r w:rsidR="001E6317" w:rsidRPr="00CE1A77">
        <w:rPr>
          <w:rFonts w:asciiTheme="minorHAnsi" w:hAnsiTheme="minorHAnsi" w:cstheme="minorHAnsi"/>
          <w:sz w:val="22"/>
          <w:szCs w:val="22"/>
          <w:lang w:val="fr-BE"/>
        </w:rPr>
        <w:t>, sans impacter le budget communal de charges supplémentaires ;</w:t>
      </w:r>
    </w:p>
    <w:p w:rsidR="001F6C58" w:rsidRPr="00CE1A77" w:rsidRDefault="001F6C58" w:rsidP="000B748C">
      <w:pPr>
        <w:jc w:val="both"/>
        <w:rPr>
          <w:rFonts w:asciiTheme="minorHAnsi" w:hAnsiTheme="minorHAnsi" w:cstheme="minorHAnsi"/>
          <w:sz w:val="22"/>
          <w:szCs w:val="22"/>
          <w:lang w:val="fr-BE"/>
        </w:rPr>
      </w:pPr>
    </w:p>
    <w:p w:rsidR="001E6317" w:rsidRPr="00CE1A77" w:rsidRDefault="001F6C58" w:rsidP="000B748C">
      <w:pPr>
        <w:jc w:val="both"/>
        <w:rPr>
          <w:rFonts w:asciiTheme="minorHAnsi" w:hAnsiTheme="minorHAnsi" w:cstheme="minorHAnsi"/>
          <w:sz w:val="22"/>
          <w:szCs w:val="22"/>
          <w:lang w:val="fr-BE"/>
        </w:rPr>
      </w:pPr>
      <w:r w:rsidRPr="00CE1A77">
        <w:rPr>
          <w:rFonts w:asciiTheme="minorHAnsi" w:hAnsiTheme="minorHAnsi" w:cstheme="minorHAnsi"/>
          <w:sz w:val="22"/>
          <w:szCs w:val="22"/>
          <w:lang w:val="fr-BE"/>
        </w:rPr>
        <w:t xml:space="preserve">Qu’au terme du calcul économique durant lequel la </w:t>
      </w:r>
      <w:r w:rsidRPr="00CE1A77">
        <w:rPr>
          <w:rFonts w:asciiTheme="minorHAnsi" w:hAnsiTheme="minorHAnsi" w:cstheme="minorHAnsi"/>
          <w:sz w:val="22"/>
          <w:szCs w:val="22"/>
          <w:highlight w:val="yellow"/>
          <w:lang w:val="fr-BE"/>
        </w:rPr>
        <w:t>Ville/Commune</w:t>
      </w:r>
      <w:r w:rsidRPr="00CE1A77">
        <w:rPr>
          <w:rFonts w:asciiTheme="minorHAnsi" w:hAnsiTheme="minorHAnsi" w:cstheme="minorHAnsi"/>
          <w:sz w:val="22"/>
          <w:szCs w:val="22"/>
          <w:lang w:val="fr-BE"/>
        </w:rPr>
        <w:t xml:space="preserve"> paie une rente à NEOVIA</w:t>
      </w:r>
      <w:r w:rsidR="001E6317" w:rsidRPr="00CE1A77">
        <w:rPr>
          <w:rFonts w:asciiTheme="minorHAnsi" w:hAnsiTheme="minorHAnsi" w:cstheme="minorHAnsi"/>
          <w:sz w:val="22"/>
          <w:szCs w:val="22"/>
          <w:lang w:val="fr-BE"/>
        </w:rPr>
        <w:t xml:space="preserve">, </w:t>
      </w:r>
      <w:r w:rsidR="001E6317" w:rsidRPr="00CE1A77">
        <w:rPr>
          <w:rFonts w:asciiTheme="minorHAnsi" w:hAnsiTheme="minorHAnsi" w:cstheme="minorHAnsi"/>
          <w:sz w:val="22"/>
          <w:szCs w:val="22"/>
          <w:highlight w:val="yellow"/>
          <w:lang w:val="fr-BE"/>
        </w:rPr>
        <w:t>la Ville/Commune</w:t>
      </w:r>
      <w:r w:rsidR="001E6317" w:rsidRPr="00CE1A77">
        <w:rPr>
          <w:rFonts w:asciiTheme="minorHAnsi" w:hAnsiTheme="minorHAnsi" w:cstheme="minorHAnsi"/>
          <w:sz w:val="22"/>
          <w:szCs w:val="22"/>
          <w:lang w:val="fr-BE"/>
        </w:rPr>
        <w:t xml:space="preserve"> </w:t>
      </w:r>
      <w:r w:rsidRPr="00CE1A77">
        <w:rPr>
          <w:rFonts w:asciiTheme="minorHAnsi" w:hAnsiTheme="minorHAnsi" w:cstheme="minorHAnsi"/>
          <w:sz w:val="22"/>
          <w:szCs w:val="22"/>
          <w:lang w:val="fr-BE"/>
        </w:rPr>
        <w:t xml:space="preserve">deviendra propriétaire de l’installation et </w:t>
      </w:r>
      <w:r w:rsidR="001E6317" w:rsidRPr="00CE1A77">
        <w:rPr>
          <w:rFonts w:asciiTheme="minorHAnsi" w:hAnsiTheme="minorHAnsi" w:cstheme="minorHAnsi"/>
          <w:sz w:val="22"/>
          <w:szCs w:val="22"/>
          <w:lang w:val="fr-BE"/>
        </w:rPr>
        <w:t>profitera de toute l’économie dégagée sur sa facture énergétique ;</w:t>
      </w:r>
    </w:p>
    <w:p w:rsidR="001E6317" w:rsidRPr="00CE1A77" w:rsidRDefault="001E6317" w:rsidP="000B748C">
      <w:pPr>
        <w:jc w:val="both"/>
        <w:rPr>
          <w:rFonts w:asciiTheme="minorHAnsi" w:hAnsiTheme="minorHAnsi" w:cstheme="minorHAnsi"/>
          <w:sz w:val="22"/>
          <w:szCs w:val="22"/>
          <w:lang w:val="fr-BE"/>
        </w:rPr>
      </w:pPr>
    </w:p>
    <w:p w:rsidR="001E6317" w:rsidRPr="00CE1A77" w:rsidRDefault="001E6317" w:rsidP="000B748C">
      <w:pPr>
        <w:jc w:val="both"/>
        <w:rPr>
          <w:rFonts w:asciiTheme="minorHAnsi" w:hAnsiTheme="minorHAnsi" w:cstheme="minorHAnsi"/>
          <w:sz w:val="22"/>
          <w:szCs w:val="22"/>
          <w:lang w:val="fr-BE"/>
        </w:rPr>
      </w:pPr>
      <w:r w:rsidRPr="00CE1A77">
        <w:rPr>
          <w:rFonts w:asciiTheme="minorHAnsi" w:hAnsiTheme="minorHAnsi" w:cstheme="minorHAnsi"/>
          <w:sz w:val="22"/>
          <w:szCs w:val="22"/>
          <w:lang w:val="fr-BE"/>
        </w:rPr>
        <w:t>Considérant que la mise en œuvre des projets, à savoir les études préalables, les procédures de marchés publics, le suivi des travaux et le suivi des consommations,</w:t>
      </w:r>
      <w:r w:rsidR="001F6C58" w:rsidRPr="00CE1A77">
        <w:rPr>
          <w:rFonts w:asciiTheme="minorHAnsi" w:hAnsiTheme="minorHAnsi" w:cstheme="minorHAnsi"/>
          <w:sz w:val="22"/>
          <w:szCs w:val="22"/>
          <w:lang w:val="fr-BE"/>
        </w:rPr>
        <w:t xml:space="preserve"> est réalisée par NEOVIA</w:t>
      </w:r>
      <w:r w:rsidRPr="00CE1A77">
        <w:rPr>
          <w:rFonts w:asciiTheme="minorHAnsi" w:hAnsiTheme="minorHAnsi" w:cstheme="minorHAnsi"/>
          <w:sz w:val="22"/>
          <w:szCs w:val="22"/>
          <w:lang w:val="fr-BE"/>
        </w:rPr>
        <w:t> ;</w:t>
      </w:r>
    </w:p>
    <w:p w:rsidR="001E6317" w:rsidRPr="00CE1A77" w:rsidRDefault="001E6317" w:rsidP="000B748C">
      <w:pPr>
        <w:jc w:val="both"/>
        <w:rPr>
          <w:rFonts w:asciiTheme="minorHAnsi" w:hAnsiTheme="minorHAnsi" w:cstheme="minorHAnsi"/>
          <w:sz w:val="22"/>
          <w:szCs w:val="22"/>
          <w:lang w:val="fr-BE"/>
        </w:rPr>
      </w:pPr>
    </w:p>
    <w:p w:rsidR="001E6317" w:rsidRPr="00CE1A77" w:rsidRDefault="001E6317" w:rsidP="00ED08FD">
      <w:pPr>
        <w:jc w:val="both"/>
        <w:rPr>
          <w:rFonts w:asciiTheme="minorHAnsi" w:hAnsiTheme="minorHAnsi" w:cstheme="minorHAnsi"/>
          <w:sz w:val="22"/>
          <w:szCs w:val="22"/>
          <w:lang w:val="fr-BE"/>
        </w:rPr>
      </w:pPr>
      <w:r w:rsidRPr="00CE1A77">
        <w:rPr>
          <w:rFonts w:asciiTheme="minorHAnsi" w:hAnsiTheme="minorHAnsi" w:cstheme="minorHAnsi"/>
          <w:sz w:val="22"/>
          <w:szCs w:val="22"/>
          <w:lang w:val="fr-BE"/>
        </w:rPr>
        <w:t>Considérant qu</w:t>
      </w:r>
      <w:r w:rsidR="00806E79" w:rsidRPr="00CE1A77">
        <w:rPr>
          <w:rFonts w:asciiTheme="minorHAnsi" w:hAnsiTheme="minorHAnsi" w:cstheme="minorHAnsi"/>
          <w:sz w:val="22"/>
          <w:szCs w:val="22"/>
          <w:lang w:val="fr-BE"/>
        </w:rPr>
        <w:t xml:space="preserve">e les études seront réalisées par NEOVIA sur base de fiches de renseignements communiquées par la </w:t>
      </w:r>
      <w:r w:rsidR="00806E79" w:rsidRPr="00CE1A77">
        <w:rPr>
          <w:rFonts w:asciiTheme="minorHAnsi" w:hAnsiTheme="minorHAnsi" w:cstheme="minorHAnsi"/>
          <w:sz w:val="22"/>
          <w:szCs w:val="22"/>
          <w:highlight w:val="yellow"/>
          <w:lang w:val="fr-BE"/>
        </w:rPr>
        <w:t>Ville/Commune</w:t>
      </w:r>
      <w:r w:rsidR="00ED08FD" w:rsidRPr="00CE1A77">
        <w:rPr>
          <w:rFonts w:asciiTheme="minorHAnsi" w:hAnsiTheme="minorHAnsi" w:cstheme="minorHAnsi"/>
          <w:sz w:val="22"/>
          <w:szCs w:val="22"/>
          <w:lang w:val="fr-BE"/>
        </w:rPr>
        <w:t xml:space="preserve"> ; </w:t>
      </w:r>
      <w:r w:rsidR="00806E79" w:rsidRPr="00CE1A77">
        <w:rPr>
          <w:rFonts w:asciiTheme="minorHAnsi" w:hAnsiTheme="minorHAnsi" w:cstheme="minorHAnsi"/>
          <w:sz w:val="22"/>
          <w:szCs w:val="22"/>
          <w:lang w:val="fr-BE"/>
        </w:rPr>
        <w:t>q</w:t>
      </w:r>
      <w:r w:rsidRPr="00CE1A77">
        <w:rPr>
          <w:rFonts w:asciiTheme="minorHAnsi" w:hAnsiTheme="minorHAnsi" w:cstheme="minorHAnsi"/>
          <w:sz w:val="22"/>
          <w:szCs w:val="22"/>
          <w:lang w:val="fr-BE"/>
        </w:rPr>
        <w:t xml:space="preserve">ue les bâtiments </w:t>
      </w:r>
      <w:r w:rsidR="00806E79" w:rsidRPr="00CE1A77">
        <w:rPr>
          <w:rFonts w:asciiTheme="minorHAnsi" w:hAnsiTheme="minorHAnsi" w:cstheme="minorHAnsi"/>
          <w:sz w:val="22"/>
          <w:szCs w:val="22"/>
          <w:lang w:val="fr-BE"/>
        </w:rPr>
        <w:t xml:space="preserve">seront sélectionnés par NEOVIA en concertation avec la </w:t>
      </w:r>
      <w:r w:rsidR="00806E79" w:rsidRPr="00CE1A77">
        <w:rPr>
          <w:rFonts w:asciiTheme="minorHAnsi" w:hAnsiTheme="minorHAnsi" w:cstheme="minorHAnsi"/>
          <w:sz w:val="22"/>
          <w:szCs w:val="22"/>
          <w:highlight w:val="yellow"/>
          <w:lang w:val="fr-BE"/>
        </w:rPr>
        <w:t>Ville/Commune</w:t>
      </w:r>
      <w:r w:rsidR="00806E79" w:rsidRPr="00CE1A77">
        <w:rPr>
          <w:rFonts w:asciiTheme="minorHAnsi" w:hAnsiTheme="minorHAnsi" w:cstheme="minorHAnsi"/>
          <w:sz w:val="22"/>
          <w:szCs w:val="22"/>
          <w:lang w:val="fr-BE"/>
        </w:rPr>
        <w:t xml:space="preserve"> sur base de ces études</w:t>
      </w:r>
      <w:r w:rsidRPr="00CE1A77">
        <w:rPr>
          <w:rFonts w:asciiTheme="minorHAnsi" w:hAnsiTheme="minorHAnsi" w:cstheme="minorHAnsi"/>
          <w:sz w:val="22"/>
          <w:szCs w:val="22"/>
          <w:lang w:val="fr-BE"/>
        </w:rPr>
        <w:t xml:space="preserve"> ; que des marchés publics sont alors initiés et pris en charge par </w:t>
      </w:r>
      <w:r w:rsidR="00ED08FD" w:rsidRPr="00CE1A77">
        <w:rPr>
          <w:rFonts w:asciiTheme="minorHAnsi" w:hAnsiTheme="minorHAnsi" w:cstheme="minorHAnsi"/>
          <w:sz w:val="22"/>
          <w:szCs w:val="22"/>
          <w:lang w:val="fr-BE"/>
        </w:rPr>
        <w:t>NEOVIA</w:t>
      </w:r>
      <w:r w:rsidRPr="00CE1A77">
        <w:rPr>
          <w:rFonts w:asciiTheme="minorHAnsi" w:hAnsiTheme="minorHAnsi" w:cstheme="minorHAnsi"/>
          <w:sz w:val="22"/>
          <w:szCs w:val="22"/>
          <w:lang w:val="fr-BE"/>
        </w:rPr>
        <w:t xml:space="preserve"> ; que la direction et la surveillance des travaux sont également assurées par </w:t>
      </w:r>
      <w:r w:rsidR="00ED08FD" w:rsidRPr="00CE1A77">
        <w:rPr>
          <w:rFonts w:asciiTheme="minorHAnsi" w:hAnsiTheme="minorHAnsi" w:cstheme="minorHAnsi"/>
          <w:sz w:val="22"/>
          <w:szCs w:val="22"/>
          <w:lang w:val="fr-BE"/>
        </w:rPr>
        <w:t>NEOVIA</w:t>
      </w:r>
      <w:r w:rsidRPr="00CE1A77">
        <w:rPr>
          <w:rFonts w:asciiTheme="minorHAnsi" w:hAnsiTheme="minorHAnsi" w:cstheme="minorHAnsi"/>
          <w:sz w:val="22"/>
          <w:szCs w:val="22"/>
          <w:lang w:val="fr-BE"/>
        </w:rPr>
        <w:t> ;</w:t>
      </w:r>
    </w:p>
    <w:p w:rsidR="001E6317" w:rsidRPr="00CE1A77" w:rsidRDefault="001E6317" w:rsidP="000B748C">
      <w:pPr>
        <w:jc w:val="both"/>
        <w:rPr>
          <w:rFonts w:asciiTheme="minorHAnsi" w:hAnsiTheme="minorHAnsi" w:cstheme="minorHAnsi"/>
          <w:sz w:val="22"/>
          <w:szCs w:val="22"/>
          <w:lang w:val="fr-BE"/>
        </w:rPr>
      </w:pPr>
    </w:p>
    <w:p w:rsidR="001E6317" w:rsidRPr="00CE1A77" w:rsidRDefault="001F6C58" w:rsidP="001C6290">
      <w:pPr>
        <w:ind w:right="-143"/>
        <w:jc w:val="both"/>
        <w:rPr>
          <w:rFonts w:asciiTheme="minorHAnsi" w:hAnsiTheme="minorHAnsi" w:cstheme="minorHAnsi"/>
          <w:sz w:val="22"/>
          <w:szCs w:val="22"/>
          <w:lang w:val="fr-BE"/>
        </w:rPr>
      </w:pPr>
      <w:r w:rsidRPr="00CE1A77">
        <w:rPr>
          <w:rFonts w:asciiTheme="minorHAnsi" w:hAnsiTheme="minorHAnsi" w:cstheme="minorHAnsi"/>
          <w:sz w:val="22"/>
          <w:szCs w:val="22"/>
          <w:lang w:val="fr-BE"/>
        </w:rPr>
        <w:t>Que NEOVIA</w:t>
      </w:r>
      <w:r w:rsidR="001E6317" w:rsidRPr="00CE1A77">
        <w:rPr>
          <w:rFonts w:asciiTheme="minorHAnsi" w:hAnsiTheme="minorHAnsi" w:cstheme="minorHAnsi"/>
          <w:sz w:val="22"/>
          <w:szCs w:val="22"/>
          <w:lang w:val="fr-BE"/>
        </w:rPr>
        <w:t xml:space="preserve"> réalise un monitoring des consommations pendant toute la durée </w:t>
      </w:r>
      <w:r w:rsidRPr="00CE1A77">
        <w:rPr>
          <w:rFonts w:asciiTheme="minorHAnsi" w:hAnsiTheme="minorHAnsi" w:cstheme="minorHAnsi"/>
          <w:sz w:val="22"/>
          <w:szCs w:val="22"/>
          <w:lang w:val="fr-BE"/>
        </w:rPr>
        <w:t>du calcul économique</w:t>
      </w:r>
      <w:r w:rsidR="001E6317" w:rsidRPr="00CE1A77">
        <w:rPr>
          <w:rFonts w:asciiTheme="minorHAnsi" w:hAnsiTheme="minorHAnsi" w:cstheme="minorHAnsi"/>
          <w:sz w:val="22"/>
          <w:szCs w:val="22"/>
          <w:lang w:val="fr-BE"/>
        </w:rPr>
        <w:t xml:space="preserve"> ; </w:t>
      </w:r>
    </w:p>
    <w:p w:rsidR="001E6317" w:rsidRPr="00CE1A77" w:rsidRDefault="001E6317" w:rsidP="000B748C">
      <w:pPr>
        <w:jc w:val="both"/>
        <w:rPr>
          <w:rFonts w:asciiTheme="minorHAnsi" w:hAnsiTheme="minorHAnsi" w:cstheme="minorHAnsi"/>
          <w:sz w:val="22"/>
          <w:szCs w:val="22"/>
          <w:lang w:val="fr-BE"/>
        </w:rPr>
      </w:pPr>
    </w:p>
    <w:p w:rsidR="001C6290" w:rsidRDefault="001C6290" w:rsidP="000B748C">
      <w:pPr>
        <w:jc w:val="both"/>
        <w:rPr>
          <w:rFonts w:asciiTheme="minorHAnsi" w:hAnsiTheme="minorHAnsi" w:cstheme="minorHAnsi"/>
          <w:sz w:val="22"/>
          <w:szCs w:val="22"/>
          <w:lang w:val="fr-BE"/>
        </w:rPr>
      </w:pPr>
    </w:p>
    <w:p w:rsidR="001E6317" w:rsidRPr="00CE1A77" w:rsidRDefault="001E6317" w:rsidP="000B748C">
      <w:pPr>
        <w:jc w:val="both"/>
        <w:rPr>
          <w:rFonts w:asciiTheme="minorHAnsi" w:hAnsiTheme="minorHAnsi" w:cstheme="minorHAnsi"/>
          <w:sz w:val="22"/>
          <w:szCs w:val="22"/>
          <w:lang w:val="fr-BE"/>
        </w:rPr>
      </w:pPr>
      <w:bookmarkStart w:id="0" w:name="_GoBack"/>
      <w:bookmarkEnd w:id="0"/>
      <w:r w:rsidRPr="00CE1A77">
        <w:rPr>
          <w:rFonts w:asciiTheme="minorHAnsi" w:hAnsiTheme="minorHAnsi" w:cstheme="minorHAnsi"/>
          <w:sz w:val="22"/>
          <w:szCs w:val="22"/>
          <w:lang w:val="fr-BE"/>
        </w:rPr>
        <w:t>Sur proposition du Collège communal ;</w:t>
      </w:r>
    </w:p>
    <w:p w:rsidR="001E6317" w:rsidRPr="00CE1A77" w:rsidRDefault="001E6317" w:rsidP="000B748C">
      <w:pPr>
        <w:jc w:val="both"/>
        <w:rPr>
          <w:rFonts w:asciiTheme="minorHAnsi" w:hAnsiTheme="minorHAnsi" w:cstheme="minorHAnsi"/>
          <w:sz w:val="22"/>
          <w:szCs w:val="22"/>
          <w:lang w:val="fr-BE"/>
        </w:rPr>
      </w:pPr>
    </w:p>
    <w:p w:rsidR="001E6317" w:rsidRPr="00CE1A77" w:rsidRDefault="001E6317" w:rsidP="000B748C">
      <w:pPr>
        <w:jc w:val="both"/>
        <w:rPr>
          <w:rFonts w:asciiTheme="minorHAnsi" w:hAnsiTheme="minorHAnsi" w:cstheme="minorHAnsi"/>
          <w:b/>
          <w:sz w:val="22"/>
          <w:szCs w:val="22"/>
          <w:lang w:val="fr-BE"/>
        </w:rPr>
      </w:pPr>
      <w:r w:rsidRPr="00CE1A77">
        <w:rPr>
          <w:rFonts w:asciiTheme="minorHAnsi" w:hAnsiTheme="minorHAnsi" w:cstheme="minorHAnsi"/>
          <w:b/>
          <w:sz w:val="22"/>
          <w:szCs w:val="22"/>
          <w:lang w:val="fr-BE"/>
        </w:rPr>
        <w:t xml:space="preserve">Décide : </w:t>
      </w:r>
    </w:p>
    <w:p w:rsidR="001E6317" w:rsidRPr="00CE1A77" w:rsidRDefault="001E6317" w:rsidP="000B748C">
      <w:pPr>
        <w:widowControl w:val="0"/>
        <w:ind w:left="851" w:hanging="851"/>
        <w:jc w:val="both"/>
        <w:rPr>
          <w:rFonts w:asciiTheme="minorHAnsi" w:hAnsiTheme="minorHAnsi" w:cstheme="minorHAnsi"/>
          <w:sz w:val="22"/>
          <w:szCs w:val="22"/>
          <w:u w:val="single"/>
          <w:lang w:val="fr-BE"/>
        </w:rPr>
      </w:pPr>
    </w:p>
    <w:p w:rsidR="001E6317" w:rsidRPr="00CE1A77" w:rsidRDefault="001E6317" w:rsidP="000B748C">
      <w:pPr>
        <w:ind w:left="1416" w:hanging="1416"/>
        <w:jc w:val="both"/>
        <w:rPr>
          <w:rFonts w:asciiTheme="minorHAnsi" w:hAnsiTheme="minorHAnsi" w:cstheme="minorHAnsi"/>
          <w:sz w:val="22"/>
          <w:szCs w:val="22"/>
          <w:lang w:val="fr-BE"/>
        </w:rPr>
      </w:pPr>
      <w:r w:rsidRPr="00CE1A77">
        <w:rPr>
          <w:rFonts w:asciiTheme="minorHAnsi" w:hAnsiTheme="minorHAnsi" w:cstheme="minorHAnsi"/>
          <w:sz w:val="22"/>
          <w:szCs w:val="22"/>
          <w:u w:val="single"/>
        </w:rPr>
        <w:lastRenderedPageBreak/>
        <w:t>Article 1er</w:t>
      </w:r>
      <w:r w:rsidRPr="00CE1A77">
        <w:rPr>
          <w:rFonts w:asciiTheme="minorHAnsi" w:hAnsiTheme="minorHAnsi" w:cstheme="minorHAnsi"/>
          <w:sz w:val="22"/>
          <w:szCs w:val="22"/>
        </w:rPr>
        <w:t> :</w:t>
      </w:r>
      <w:r w:rsidRPr="00CE1A77">
        <w:rPr>
          <w:rFonts w:asciiTheme="minorHAnsi" w:hAnsiTheme="minorHAnsi" w:cstheme="minorHAnsi"/>
          <w:sz w:val="22"/>
          <w:szCs w:val="22"/>
        </w:rPr>
        <w:tab/>
        <w:t xml:space="preserve">de </w:t>
      </w:r>
      <w:r w:rsidRPr="00CE1A77">
        <w:rPr>
          <w:rFonts w:asciiTheme="minorHAnsi" w:hAnsiTheme="minorHAnsi" w:cstheme="minorHAnsi"/>
          <w:sz w:val="22"/>
          <w:szCs w:val="22"/>
          <w:lang w:val="fr-BE"/>
        </w:rPr>
        <w:t xml:space="preserve">confier à </w:t>
      </w:r>
      <w:r w:rsidR="00ED08FD" w:rsidRPr="00CE1A77">
        <w:rPr>
          <w:rFonts w:asciiTheme="minorHAnsi" w:hAnsiTheme="minorHAnsi" w:cstheme="minorHAnsi"/>
          <w:sz w:val="22"/>
          <w:szCs w:val="22"/>
          <w:lang w:val="fr-BE"/>
        </w:rPr>
        <w:t>NEOVIA</w:t>
      </w:r>
      <w:r w:rsidRPr="00CE1A77">
        <w:rPr>
          <w:rFonts w:asciiTheme="minorHAnsi" w:hAnsiTheme="minorHAnsi" w:cstheme="minorHAnsi"/>
          <w:sz w:val="22"/>
          <w:szCs w:val="22"/>
        </w:rPr>
        <w:t xml:space="preserve">, </w:t>
      </w:r>
      <w:r w:rsidR="00ED08FD" w:rsidRPr="00CE1A77">
        <w:rPr>
          <w:rFonts w:asciiTheme="minorHAnsi" w:hAnsiTheme="minorHAnsi" w:cstheme="minorHAnsi"/>
          <w:sz w:val="22"/>
          <w:szCs w:val="22"/>
        </w:rPr>
        <w:t>société coopérative</w:t>
      </w:r>
      <w:r w:rsidRPr="00CE1A77">
        <w:rPr>
          <w:rFonts w:asciiTheme="minorHAnsi" w:hAnsiTheme="minorHAnsi" w:cstheme="minorHAnsi"/>
          <w:sz w:val="22"/>
          <w:szCs w:val="22"/>
        </w:rPr>
        <w:t>, Boulevard Mayence, 1 à 6000 Charleroi,</w:t>
      </w:r>
      <w:r w:rsidR="00ED08FD" w:rsidRPr="00CE1A77">
        <w:rPr>
          <w:rFonts w:asciiTheme="minorHAnsi" w:hAnsiTheme="minorHAnsi" w:cstheme="minorHAnsi"/>
          <w:sz w:val="22"/>
          <w:szCs w:val="22"/>
          <w:lang w:val="fr-BE"/>
        </w:rPr>
        <w:t xml:space="preserve"> la mission d’installation de moyens de production d’énergie renouvelable et durable ;</w:t>
      </w:r>
    </w:p>
    <w:p w:rsidR="001E6317" w:rsidRPr="00CE1A77" w:rsidRDefault="001E6317" w:rsidP="000B748C">
      <w:pPr>
        <w:pStyle w:val="Retraitcorpsdetexte"/>
        <w:ind w:firstLine="0"/>
        <w:jc w:val="both"/>
        <w:rPr>
          <w:rFonts w:asciiTheme="minorHAnsi" w:hAnsiTheme="minorHAnsi" w:cstheme="minorHAnsi"/>
          <w:sz w:val="22"/>
          <w:szCs w:val="22"/>
        </w:rPr>
      </w:pPr>
    </w:p>
    <w:p w:rsidR="001E6317" w:rsidRPr="00CE1A77" w:rsidRDefault="001E6317" w:rsidP="000B748C">
      <w:pPr>
        <w:pStyle w:val="Retraitcorpsdetexte"/>
        <w:ind w:left="1416" w:hanging="1416"/>
        <w:jc w:val="both"/>
        <w:rPr>
          <w:rFonts w:asciiTheme="minorHAnsi" w:hAnsiTheme="minorHAnsi" w:cstheme="minorHAnsi"/>
          <w:sz w:val="22"/>
          <w:szCs w:val="22"/>
        </w:rPr>
      </w:pPr>
      <w:r w:rsidRPr="00CE1A77">
        <w:rPr>
          <w:rFonts w:asciiTheme="minorHAnsi" w:hAnsiTheme="minorHAnsi" w:cstheme="minorHAnsi"/>
          <w:sz w:val="22"/>
          <w:szCs w:val="22"/>
          <w:u w:val="single"/>
        </w:rPr>
        <w:t>Article 2 :</w:t>
      </w:r>
      <w:r w:rsidR="003146D2" w:rsidRPr="00CE1A77">
        <w:rPr>
          <w:rFonts w:asciiTheme="minorHAnsi" w:hAnsiTheme="minorHAnsi" w:cstheme="minorHAnsi"/>
          <w:sz w:val="22"/>
          <w:szCs w:val="22"/>
        </w:rPr>
        <w:tab/>
        <w:t xml:space="preserve">d'approuver le </w:t>
      </w:r>
      <w:r w:rsidRPr="00CE1A77">
        <w:rPr>
          <w:rFonts w:asciiTheme="minorHAnsi" w:hAnsiTheme="minorHAnsi" w:cstheme="minorHAnsi"/>
          <w:sz w:val="22"/>
          <w:szCs w:val="22"/>
        </w:rPr>
        <w:t>«</w:t>
      </w:r>
      <w:r w:rsidR="001C6290">
        <w:rPr>
          <w:rFonts w:asciiTheme="minorHAnsi" w:hAnsiTheme="minorHAnsi" w:cstheme="minorHAnsi"/>
          <w:sz w:val="22"/>
          <w:szCs w:val="22"/>
        </w:rPr>
        <w:t xml:space="preserve"> </w:t>
      </w:r>
      <w:r w:rsidR="00ED08FD" w:rsidRPr="00CE1A77">
        <w:rPr>
          <w:rFonts w:asciiTheme="minorHAnsi" w:hAnsiTheme="minorHAnsi" w:cstheme="minorHAnsi"/>
          <w:sz w:val="22"/>
          <w:szCs w:val="22"/>
        </w:rPr>
        <w:t>Contrat-Cadre Installation de moyens de production locale d’énergie renouvelable et durable</w:t>
      </w:r>
      <w:r w:rsidRPr="00CE1A77">
        <w:rPr>
          <w:rFonts w:asciiTheme="minorHAnsi" w:hAnsiTheme="minorHAnsi" w:cstheme="minorHAnsi"/>
          <w:sz w:val="22"/>
          <w:szCs w:val="22"/>
        </w:rPr>
        <w:t> » réputé faire partie intégrante de la présente délibération ;</w:t>
      </w:r>
    </w:p>
    <w:p w:rsidR="001E6317" w:rsidRPr="00CE1A77" w:rsidRDefault="001E6317" w:rsidP="000B748C">
      <w:pPr>
        <w:pStyle w:val="Retraitcorpsdetexte"/>
        <w:ind w:firstLine="0"/>
        <w:jc w:val="both"/>
        <w:rPr>
          <w:rFonts w:asciiTheme="minorHAnsi" w:hAnsiTheme="minorHAnsi" w:cstheme="minorHAnsi"/>
          <w:sz w:val="22"/>
          <w:szCs w:val="22"/>
        </w:rPr>
      </w:pPr>
    </w:p>
    <w:p w:rsidR="001E6317" w:rsidRPr="00CE1A77" w:rsidRDefault="001E6317" w:rsidP="000B748C">
      <w:pPr>
        <w:ind w:left="1416" w:hanging="1416"/>
        <w:jc w:val="both"/>
        <w:rPr>
          <w:rFonts w:asciiTheme="minorHAnsi" w:hAnsiTheme="minorHAnsi" w:cstheme="minorHAnsi"/>
          <w:sz w:val="22"/>
          <w:szCs w:val="22"/>
          <w:lang w:val="fr-BE"/>
        </w:rPr>
      </w:pPr>
      <w:r w:rsidRPr="00CE1A77">
        <w:rPr>
          <w:rFonts w:asciiTheme="minorHAnsi" w:hAnsiTheme="minorHAnsi" w:cstheme="minorHAnsi"/>
          <w:sz w:val="22"/>
          <w:szCs w:val="22"/>
          <w:u w:val="single"/>
        </w:rPr>
        <w:t>Article 3</w:t>
      </w:r>
      <w:r w:rsidRPr="00CE1A77">
        <w:rPr>
          <w:rFonts w:asciiTheme="minorHAnsi" w:hAnsiTheme="minorHAnsi" w:cstheme="minorHAnsi"/>
          <w:sz w:val="22"/>
          <w:szCs w:val="22"/>
        </w:rPr>
        <w:t> :</w:t>
      </w:r>
      <w:r w:rsidRPr="00CE1A77">
        <w:rPr>
          <w:rFonts w:asciiTheme="minorHAnsi" w:hAnsiTheme="minorHAnsi" w:cstheme="minorHAnsi"/>
          <w:sz w:val="22"/>
          <w:szCs w:val="22"/>
        </w:rPr>
        <w:tab/>
        <w:t xml:space="preserve">de charger le Collège Communal </w:t>
      </w:r>
      <w:r w:rsidRPr="00CE1A77">
        <w:rPr>
          <w:rFonts w:asciiTheme="minorHAnsi" w:hAnsiTheme="minorHAnsi" w:cstheme="minorHAnsi"/>
          <w:sz w:val="22"/>
          <w:szCs w:val="22"/>
          <w:lang w:val="fr-BE"/>
        </w:rPr>
        <w:t>de fournir à</w:t>
      </w:r>
      <w:r w:rsidR="00ED08FD" w:rsidRPr="00CE1A77">
        <w:rPr>
          <w:rFonts w:asciiTheme="minorHAnsi" w:hAnsiTheme="minorHAnsi" w:cstheme="minorHAnsi"/>
          <w:sz w:val="22"/>
          <w:szCs w:val="22"/>
          <w:lang w:val="fr-BE"/>
        </w:rPr>
        <w:t xml:space="preserve"> NEOVIA</w:t>
      </w:r>
      <w:r w:rsidRPr="00CE1A77">
        <w:rPr>
          <w:rFonts w:asciiTheme="minorHAnsi" w:hAnsiTheme="minorHAnsi" w:cstheme="minorHAnsi"/>
          <w:sz w:val="22"/>
          <w:szCs w:val="22"/>
          <w:lang w:val="fr-BE"/>
        </w:rPr>
        <w:t xml:space="preserve"> </w:t>
      </w:r>
      <w:r w:rsidR="007D09D8" w:rsidRPr="00CE1A77">
        <w:rPr>
          <w:rFonts w:asciiTheme="minorHAnsi" w:hAnsiTheme="minorHAnsi" w:cstheme="minorHAnsi"/>
          <w:sz w:val="22"/>
          <w:szCs w:val="22"/>
          <w:lang w:val="fr-BE"/>
        </w:rPr>
        <w:t>les fiches de renseignements complétées</w:t>
      </w:r>
      <w:r w:rsidRPr="00CE1A77">
        <w:rPr>
          <w:rFonts w:asciiTheme="minorHAnsi" w:hAnsiTheme="minorHAnsi" w:cstheme="minorHAnsi"/>
          <w:sz w:val="22"/>
          <w:szCs w:val="22"/>
          <w:lang w:val="fr-BE"/>
        </w:rPr>
        <w:t xml:space="preserve"> relatives aux bâtiments de </w:t>
      </w:r>
      <w:r w:rsidRPr="00CE1A77">
        <w:rPr>
          <w:rFonts w:asciiTheme="minorHAnsi" w:hAnsiTheme="minorHAnsi" w:cstheme="minorHAnsi"/>
          <w:sz w:val="22"/>
          <w:szCs w:val="22"/>
          <w:highlight w:val="yellow"/>
          <w:lang w:val="fr-BE"/>
        </w:rPr>
        <w:t>la Ville/Commune</w:t>
      </w:r>
      <w:r w:rsidRPr="00CE1A77">
        <w:rPr>
          <w:rFonts w:asciiTheme="minorHAnsi" w:hAnsiTheme="minorHAnsi" w:cstheme="minorHAnsi"/>
          <w:sz w:val="22"/>
          <w:szCs w:val="22"/>
          <w:lang w:val="fr-BE"/>
        </w:rPr>
        <w:t> ;</w:t>
      </w:r>
    </w:p>
    <w:p w:rsidR="001E6317" w:rsidRPr="00CE1A77" w:rsidRDefault="001E6317" w:rsidP="000B748C">
      <w:pPr>
        <w:jc w:val="both"/>
        <w:rPr>
          <w:rFonts w:asciiTheme="minorHAnsi" w:hAnsiTheme="minorHAnsi" w:cstheme="minorHAnsi"/>
          <w:sz w:val="22"/>
          <w:szCs w:val="22"/>
        </w:rPr>
      </w:pPr>
    </w:p>
    <w:p w:rsidR="001E6317" w:rsidRPr="00CE1A77" w:rsidRDefault="001E6317" w:rsidP="000B748C">
      <w:pPr>
        <w:jc w:val="both"/>
        <w:rPr>
          <w:rFonts w:asciiTheme="minorHAnsi" w:hAnsiTheme="minorHAnsi" w:cstheme="minorHAnsi"/>
          <w:sz w:val="22"/>
          <w:szCs w:val="22"/>
          <w:lang w:val="fr-BE"/>
        </w:rPr>
      </w:pPr>
      <w:r w:rsidRPr="00CE1A77">
        <w:rPr>
          <w:rFonts w:asciiTheme="minorHAnsi" w:hAnsiTheme="minorHAnsi" w:cstheme="minorHAnsi"/>
          <w:sz w:val="22"/>
          <w:szCs w:val="22"/>
          <w:u w:val="single"/>
        </w:rPr>
        <w:t>Article 4</w:t>
      </w:r>
      <w:r w:rsidRPr="00CE1A77">
        <w:rPr>
          <w:rFonts w:asciiTheme="minorHAnsi" w:hAnsiTheme="minorHAnsi" w:cstheme="minorHAnsi"/>
          <w:sz w:val="22"/>
          <w:szCs w:val="22"/>
        </w:rPr>
        <w:t> :</w:t>
      </w:r>
      <w:r w:rsidRPr="00CE1A77">
        <w:rPr>
          <w:rFonts w:asciiTheme="minorHAnsi" w:hAnsiTheme="minorHAnsi" w:cstheme="minorHAnsi"/>
          <w:sz w:val="22"/>
          <w:szCs w:val="22"/>
        </w:rPr>
        <w:tab/>
      </w:r>
      <w:r w:rsidRPr="00CE1A77">
        <w:rPr>
          <w:rFonts w:asciiTheme="minorHAnsi" w:hAnsiTheme="minorHAnsi" w:cstheme="minorHAnsi"/>
          <w:sz w:val="22"/>
          <w:szCs w:val="22"/>
          <w:lang w:val="fr-BE"/>
        </w:rPr>
        <w:t xml:space="preserve">de délivrer à IGRETEC l’ordre de mission pour les phases suivantes : </w:t>
      </w:r>
    </w:p>
    <w:p w:rsidR="001E6317" w:rsidRPr="00CE1A77" w:rsidRDefault="001E6317" w:rsidP="000B748C">
      <w:pPr>
        <w:jc w:val="both"/>
        <w:rPr>
          <w:rFonts w:asciiTheme="minorHAnsi" w:hAnsiTheme="minorHAnsi" w:cstheme="minorHAnsi"/>
          <w:sz w:val="22"/>
          <w:szCs w:val="22"/>
        </w:rPr>
      </w:pPr>
    </w:p>
    <w:p w:rsidR="007D09D8" w:rsidRPr="00CE1A77" w:rsidRDefault="001E6317" w:rsidP="007D09D8">
      <w:pPr>
        <w:ind w:left="1985" w:hanging="567"/>
        <w:jc w:val="both"/>
        <w:rPr>
          <w:rFonts w:asciiTheme="minorHAnsi" w:hAnsiTheme="minorHAnsi" w:cstheme="minorHAnsi"/>
          <w:sz w:val="22"/>
          <w:szCs w:val="22"/>
        </w:rPr>
      </w:pPr>
      <w:r w:rsidRPr="00CE1A77">
        <w:rPr>
          <w:rFonts w:asciiTheme="minorHAnsi" w:hAnsiTheme="minorHAnsi" w:cstheme="minorHAnsi"/>
          <w:sz w:val="22"/>
          <w:szCs w:val="22"/>
          <w:lang w:val="fr-BE"/>
        </w:rPr>
        <w:t>-</w:t>
      </w:r>
      <w:r w:rsidRPr="00CE1A77">
        <w:rPr>
          <w:rFonts w:asciiTheme="minorHAnsi" w:hAnsiTheme="minorHAnsi" w:cstheme="minorHAnsi"/>
          <w:sz w:val="22"/>
          <w:szCs w:val="22"/>
          <w:lang w:val="fr-BE"/>
        </w:rPr>
        <w:tab/>
      </w:r>
      <w:r w:rsidR="007D09D8" w:rsidRPr="00CE1A77">
        <w:rPr>
          <w:rFonts w:asciiTheme="minorHAnsi" w:hAnsiTheme="minorHAnsi" w:cstheme="minorHAnsi"/>
          <w:sz w:val="22"/>
          <w:szCs w:val="22"/>
        </w:rPr>
        <w:t>la réalisation de « quick scans » sur base des fiches de renseignements visées à l’article 3 ;</w:t>
      </w:r>
    </w:p>
    <w:p w:rsidR="001E6317" w:rsidRPr="00CE1A77" w:rsidRDefault="007D09D8" w:rsidP="007D09D8">
      <w:pPr>
        <w:ind w:left="1985" w:hanging="567"/>
        <w:jc w:val="both"/>
        <w:rPr>
          <w:rFonts w:asciiTheme="minorHAnsi" w:hAnsiTheme="minorHAnsi" w:cstheme="minorHAnsi"/>
          <w:sz w:val="22"/>
          <w:szCs w:val="22"/>
          <w:lang w:val="fr-BE"/>
        </w:rPr>
      </w:pPr>
      <w:r w:rsidRPr="00CE1A77">
        <w:rPr>
          <w:rFonts w:asciiTheme="minorHAnsi" w:hAnsiTheme="minorHAnsi" w:cstheme="minorHAnsi"/>
          <w:sz w:val="22"/>
          <w:szCs w:val="22"/>
        </w:rPr>
        <w:t>-</w:t>
      </w:r>
      <w:r w:rsidRPr="00CE1A77">
        <w:rPr>
          <w:rFonts w:asciiTheme="minorHAnsi" w:hAnsiTheme="minorHAnsi" w:cstheme="minorHAnsi"/>
          <w:sz w:val="22"/>
          <w:szCs w:val="22"/>
        </w:rPr>
        <w:tab/>
        <w:t>la réalisation de rapports de visite des bâtiments propriétés du contractant et présélectionnés de commun accord sur base des résultats de l’étape précédente ;</w:t>
      </w:r>
    </w:p>
    <w:p w:rsidR="001E6317" w:rsidRPr="00CE1A77" w:rsidRDefault="001E6317" w:rsidP="000B748C">
      <w:pPr>
        <w:pStyle w:val="Retraitcorpsdetexte"/>
        <w:ind w:firstLine="0"/>
        <w:jc w:val="both"/>
        <w:rPr>
          <w:rFonts w:asciiTheme="minorHAnsi" w:hAnsiTheme="minorHAnsi" w:cstheme="minorHAnsi"/>
          <w:sz w:val="22"/>
          <w:szCs w:val="22"/>
        </w:rPr>
      </w:pPr>
    </w:p>
    <w:p w:rsidR="007D09D8" w:rsidRPr="00CE1A77" w:rsidRDefault="007D09D8" w:rsidP="007D09D8">
      <w:pPr>
        <w:ind w:left="1418" w:hanging="1418"/>
        <w:jc w:val="both"/>
        <w:rPr>
          <w:rFonts w:asciiTheme="minorHAnsi" w:hAnsiTheme="minorHAnsi" w:cstheme="minorHAnsi"/>
          <w:sz w:val="22"/>
          <w:szCs w:val="22"/>
        </w:rPr>
      </w:pPr>
      <w:r w:rsidRPr="00CE1A77">
        <w:rPr>
          <w:rFonts w:asciiTheme="minorHAnsi" w:hAnsiTheme="minorHAnsi" w:cstheme="minorHAnsi"/>
          <w:sz w:val="22"/>
          <w:szCs w:val="22"/>
          <w:u w:val="single"/>
        </w:rPr>
        <w:t>Article 5</w:t>
      </w:r>
      <w:r w:rsidRPr="00CE1A77">
        <w:rPr>
          <w:rFonts w:asciiTheme="minorHAnsi" w:hAnsiTheme="minorHAnsi" w:cstheme="minorHAnsi"/>
          <w:sz w:val="22"/>
          <w:szCs w:val="22"/>
        </w:rPr>
        <w:t> :</w:t>
      </w:r>
      <w:r w:rsidRPr="00CE1A77">
        <w:rPr>
          <w:rFonts w:asciiTheme="minorHAnsi" w:hAnsiTheme="minorHAnsi" w:cstheme="minorHAnsi"/>
          <w:sz w:val="22"/>
          <w:szCs w:val="22"/>
        </w:rPr>
        <w:tab/>
      </w:r>
      <w:r w:rsidRPr="00CE1A77">
        <w:rPr>
          <w:rFonts w:asciiTheme="minorHAnsi" w:hAnsiTheme="minorHAnsi" w:cstheme="minorHAnsi"/>
          <w:sz w:val="22"/>
          <w:szCs w:val="22"/>
          <w:lang w:val="fr-BE"/>
        </w:rPr>
        <w:t xml:space="preserve">de charger le Collège communal de désigner </w:t>
      </w:r>
      <w:r w:rsidRPr="00CE1A77">
        <w:rPr>
          <w:rFonts w:asciiTheme="minorHAnsi" w:hAnsiTheme="minorHAnsi" w:cstheme="minorHAnsi"/>
          <w:sz w:val="22"/>
          <w:szCs w:val="22"/>
        </w:rPr>
        <w:t>une personne de référence (référent technique) auprès duquel NEOVIA pourra obtenir des informations particulières sur les bâtiments sélectionnés.</w:t>
      </w:r>
    </w:p>
    <w:p w:rsidR="007D09D8" w:rsidRPr="00CE1A77" w:rsidRDefault="007D09D8" w:rsidP="007D09D8">
      <w:pPr>
        <w:jc w:val="both"/>
        <w:rPr>
          <w:rFonts w:asciiTheme="minorHAnsi" w:hAnsiTheme="minorHAnsi" w:cstheme="minorHAnsi"/>
          <w:sz w:val="22"/>
          <w:szCs w:val="22"/>
          <w:lang w:val="fr-BE"/>
        </w:rPr>
      </w:pPr>
    </w:p>
    <w:p w:rsidR="007D09D8" w:rsidRPr="00CE1A77" w:rsidRDefault="007D09D8" w:rsidP="007D09D8">
      <w:pPr>
        <w:pStyle w:val="Retraitcorpsdetexte"/>
        <w:ind w:firstLine="0"/>
        <w:jc w:val="both"/>
        <w:rPr>
          <w:rFonts w:asciiTheme="minorHAnsi" w:hAnsiTheme="minorHAnsi" w:cstheme="minorHAnsi"/>
          <w:sz w:val="22"/>
          <w:szCs w:val="22"/>
          <w:u w:val="single"/>
        </w:rPr>
      </w:pPr>
    </w:p>
    <w:p w:rsidR="001E6317" w:rsidRPr="00CE1A77" w:rsidRDefault="001E6317" w:rsidP="006F509D">
      <w:pPr>
        <w:pStyle w:val="Retraitcorpsdetexte"/>
        <w:ind w:left="1410" w:hanging="1410"/>
        <w:jc w:val="both"/>
        <w:rPr>
          <w:rFonts w:asciiTheme="minorHAnsi" w:hAnsiTheme="minorHAnsi" w:cstheme="minorHAnsi"/>
          <w:sz w:val="22"/>
          <w:szCs w:val="22"/>
        </w:rPr>
      </w:pPr>
      <w:r w:rsidRPr="00CE1A77">
        <w:rPr>
          <w:rFonts w:asciiTheme="minorHAnsi" w:hAnsiTheme="minorHAnsi" w:cstheme="minorHAnsi"/>
          <w:sz w:val="22"/>
          <w:szCs w:val="22"/>
          <w:u w:val="single"/>
        </w:rPr>
        <w:t xml:space="preserve">Article </w:t>
      </w:r>
      <w:r w:rsidR="007D09D8" w:rsidRPr="00CE1A77">
        <w:rPr>
          <w:rFonts w:asciiTheme="minorHAnsi" w:hAnsiTheme="minorHAnsi" w:cstheme="minorHAnsi"/>
          <w:sz w:val="22"/>
          <w:szCs w:val="22"/>
          <w:u w:val="single"/>
        </w:rPr>
        <w:t>6</w:t>
      </w:r>
      <w:r w:rsidRPr="00CE1A77">
        <w:rPr>
          <w:rFonts w:asciiTheme="minorHAnsi" w:hAnsiTheme="minorHAnsi" w:cstheme="minorHAnsi"/>
          <w:sz w:val="22"/>
          <w:szCs w:val="22"/>
        </w:rPr>
        <w:t> :</w:t>
      </w:r>
      <w:r w:rsidRPr="00CE1A77">
        <w:rPr>
          <w:rFonts w:asciiTheme="minorHAnsi" w:hAnsiTheme="minorHAnsi" w:cstheme="minorHAnsi"/>
          <w:sz w:val="22"/>
          <w:szCs w:val="22"/>
        </w:rPr>
        <w:tab/>
        <w:t>de charger le Collège communal de l’exécution et du suivi de ladite convention.</w:t>
      </w:r>
    </w:p>
    <w:p w:rsidR="001E6317" w:rsidRPr="00CE1A77" w:rsidRDefault="001E6317" w:rsidP="000B748C">
      <w:pPr>
        <w:pStyle w:val="Retraitcorpsdetexte"/>
        <w:ind w:firstLine="0"/>
        <w:jc w:val="both"/>
        <w:rPr>
          <w:rFonts w:asciiTheme="minorHAnsi" w:hAnsiTheme="minorHAnsi" w:cstheme="minorHAnsi"/>
          <w:sz w:val="22"/>
          <w:szCs w:val="22"/>
        </w:rPr>
      </w:pPr>
    </w:p>
    <w:p w:rsidR="001E6317" w:rsidRPr="00CE1A77" w:rsidRDefault="001E6317" w:rsidP="000B748C">
      <w:pPr>
        <w:pStyle w:val="Retraitcorpsdetexte"/>
        <w:ind w:firstLine="0"/>
        <w:jc w:val="both"/>
        <w:rPr>
          <w:rFonts w:asciiTheme="minorHAnsi" w:hAnsiTheme="minorHAnsi" w:cstheme="minorHAnsi"/>
          <w:sz w:val="22"/>
          <w:szCs w:val="22"/>
        </w:rPr>
      </w:pPr>
    </w:p>
    <w:p w:rsidR="001E6317" w:rsidRPr="00CE1A77" w:rsidRDefault="001E6317" w:rsidP="006F509D">
      <w:pPr>
        <w:ind w:left="1416" w:hanging="1416"/>
        <w:jc w:val="both"/>
        <w:rPr>
          <w:rFonts w:asciiTheme="minorHAnsi" w:hAnsiTheme="minorHAnsi" w:cstheme="minorHAnsi"/>
          <w:sz w:val="22"/>
          <w:szCs w:val="22"/>
        </w:rPr>
      </w:pPr>
      <w:r w:rsidRPr="00CE1A77">
        <w:rPr>
          <w:rFonts w:asciiTheme="minorHAnsi" w:hAnsiTheme="minorHAnsi" w:cstheme="minorHAnsi"/>
          <w:sz w:val="22"/>
          <w:szCs w:val="22"/>
          <w:u w:val="single"/>
        </w:rPr>
        <w:t xml:space="preserve">Article </w:t>
      </w:r>
      <w:r w:rsidR="007D09D8" w:rsidRPr="00CE1A77">
        <w:rPr>
          <w:rFonts w:asciiTheme="minorHAnsi" w:hAnsiTheme="minorHAnsi" w:cstheme="minorHAnsi"/>
          <w:sz w:val="22"/>
          <w:szCs w:val="22"/>
          <w:u w:val="single"/>
        </w:rPr>
        <w:t>7</w:t>
      </w:r>
      <w:r w:rsidRPr="00CE1A77">
        <w:rPr>
          <w:rFonts w:asciiTheme="minorHAnsi" w:hAnsiTheme="minorHAnsi" w:cstheme="minorHAnsi"/>
          <w:sz w:val="22"/>
          <w:szCs w:val="22"/>
        </w:rPr>
        <w:t> :</w:t>
      </w:r>
      <w:r w:rsidRPr="00CE1A77">
        <w:rPr>
          <w:rFonts w:asciiTheme="minorHAnsi" w:hAnsiTheme="minorHAnsi" w:cstheme="minorHAnsi"/>
          <w:sz w:val="22"/>
          <w:szCs w:val="22"/>
        </w:rPr>
        <w:tab/>
        <w:t>de charger l</w:t>
      </w:r>
      <w:r w:rsidRPr="00CE1A77">
        <w:rPr>
          <w:rFonts w:asciiTheme="minorHAnsi" w:hAnsiTheme="minorHAnsi" w:cstheme="minorHAnsi"/>
          <w:sz w:val="22"/>
          <w:szCs w:val="22"/>
          <w:lang w:val="fr-BE"/>
        </w:rPr>
        <w:t xml:space="preserve">e Collège communal de présenter au Conseil communal les </w:t>
      </w:r>
      <w:r w:rsidR="00ED08FD" w:rsidRPr="00CE1A77">
        <w:rPr>
          <w:rFonts w:asciiTheme="minorHAnsi" w:hAnsiTheme="minorHAnsi" w:cstheme="minorHAnsi"/>
          <w:sz w:val="22"/>
          <w:szCs w:val="22"/>
          <w:lang w:val="fr-BE"/>
        </w:rPr>
        <w:t>contrats particuliers</w:t>
      </w:r>
      <w:r w:rsidRPr="00CE1A77">
        <w:rPr>
          <w:rFonts w:asciiTheme="minorHAnsi" w:hAnsiTheme="minorHAnsi" w:cstheme="minorHAnsi"/>
          <w:sz w:val="22"/>
          <w:szCs w:val="22"/>
          <w:lang w:val="fr-BE"/>
        </w:rPr>
        <w:t xml:space="preserve"> sur base de l’identification, réalisée par</w:t>
      </w:r>
      <w:r w:rsidR="00ED08FD" w:rsidRPr="00CE1A77">
        <w:rPr>
          <w:rFonts w:asciiTheme="minorHAnsi" w:hAnsiTheme="minorHAnsi" w:cstheme="minorHAnsi"/>
          <w:sz w:val="22"/>
          <w:szCs w:val="22"/>
          <w:lang w:val="fr-BE"/>
        </w:rPr>
        <w:t xml:space="preserve"> NEOVIA en concertation avec </w:t>
      </w:r>
      <w:r w:rsidR="00ED08FD" w:rsidRPr="00CE1A77">
        <w:rPr>
          <w:rFonts w:asciiTheme="minorHAnsi" w:hAnsiTheme="minorHAnsi" w:cstheme="minorHAnsi"/>
          <w:sz w:val="22"/>
          <w:szCs w:val="22"/>
          <w:highlight w:val="yellow"/>
          <w:lang w:val="fr-BE"/>
        </w:rPr>
        <w:t>la Ville/Commune</w:t>
      </w:r>
      <w:r w:rsidRPr="00CE1A77">
        <w:rPr>
          <w:rFonts w:asciiTheme="minorHAnsi" w:hAnsiTheme="minorHAnsi" w:cstheme="minorHAnsi"/>
          <w:sz w:val="22"/>
          <w:szCs w:val="22"/>
          <w:lang w:val="fr-BE"/>
        </w:rPr>
        <w:t xml:space="preserve">, des bâtiments </w:t>
      </w:r>
      <w:r w:rsidR="00ED08FD" w:rsidRPr="00CE1A77">
        <w:rPr>
          <w:rFonts w:asciiTheme="minorHAnsi" w:hAnsiTheme="minorHAnsi" w:cstheme="minorHAnsi"/>
          <w:sz w:val="22"/>
          <w:szCs w:val="22"/>
          <w:lang w:val="fr-BE"/>
        </w:rPr>
        <w:t>sélectionnés</w:t>
      </w:r>
      <w:r w:rsidR="007D09D8" w:rsidRPr="00CE1A77">
        <w:rPr>
          <w:rFonts w:asciiTheme="minorHAnsi" w:hAnsiTheme="minorHAnsi" w:cstheme="minorHAnsi"/>
          <w:sz w:val="22"/>
          <w:szCs w:val="22"/>
          <w:lang w:val="fr-BE"/>
        </w:rPr>
        <w:t xml:space="preserve"> en vue d’y installer des moyens de production d’énergie renouvelable et durable.</w:t>
      </w:r>
    </w:p>
    <w:sectPr w:rsidR="001E6317" w:rsidRPr="00CE1A77" w:rsidSect="001E6317">
      <w:headerReference w:type="even" r:id="rId8"/>
      <w:headerReference w:type="default" r:id="rId9"/>
      <w:footerReference w:type="default" r:id="rId10"/>
      <w:headerReference w:type="first" r:id="rId11"/>
      <w:footnotePr>
        <w:pos w:val="beneathText"/>
      </w:footnotePr>
      <w:pgSz w:w="11905" w:h="16837"/>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77" w:rsidRDefault="00B72C77" w:rsidP="00B76474">
      <w:pPr>
        <w:rPr>
          <w:rStyle w:val="WW8Num1z0"/>
          <w:rFonts w:ascii="Times New Roman" w:hAnsi="Times New Roman"/>
        </w:rPr>
      </w:pPr>
      <w:r>
        <w:rPr>
          <w:rStyle w:val="WW8Num1z0"/>
          <w:rFonts w:ascii="Times New Roman" w:hAnsi="Times New Roman"/>
        </w:rPr>
        <w:separator/>
      </w:r>
    </w:p>
  </w:endnote>
  <w:endnote w:type="continuationSeparator" w:id="0">
    <w:p w:rsidR="00B72C77" w:rsidRDefault="00B72C77" w:rsidP="00B76474">
      <w:pPr>
        <w:rPr>
          <w:rStyle w:val="WW8Num1z0"/>
          <w:rFonts w:ascii="Times New Roman" w:hAnsi="Times New Roman"/>
        </w:rPr>
      </w:pPr>
      <w:r>
        <w:rPr>
          <w:rStyle w:val="WW8Num1z0"/>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AM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17" w:rsidRDefault="001E6317" w:rsidP="00A60846">
    <w:pPr>
      <w:pStyle w:val="Pieddepage"/>
      <w:pBdr>
        <w:top w:val="single" w:sz="4" w:space="1" w:color="auto"/>
      </w:pBdr>
    </w:pPr>
    <w:r>
      <w:rPr>
        <w:lang w:val="fr-BE"/>
      </w:rPr>
      <w:tab/>
    </w:r>
    <w:r>
      <w:rPr>
        <w:lang w:val="fr-BE"/>
      </w:rPr>
      <w:tab/>
    </w:r>
    <w:r>
      <w:rPr>
        <w:rStyle w:val="Numrodepage"/>
        <w:rFonts w:cs="Arial"/>
        <w:sz w:val="20"/>
        <w:szCs w:val="20"/>
      </w:rPr>
      <w:fldChar w:fldCharType="begin"/>
    </w:r>
    <w:r>
      <w:rPr>
        <w:rStyle w:val="Numrodepage"/>
        <w:rFonts w:cs="Arial"/>
        <w:sz w:val="20"/>
        <w:szCs w:val="20"/>
      </w:rPr>
      <w:instrText xml:space="preserve"> PAGE </w:instrText>
    </w:r>
    <w:r>
      <w:rPr>
        <w:rStyle w:val="Numrodepage"/>
        <w:rFonts w:cs="Arial"/>
        <w:sz w:val="20"/>
        <w:szCs w:val="20"/>
      </w:rPr>
      <w:fldChar w:fldCharType="separate"/>
    </w:r>
    <w:r w:rsidR="001C6290">
      <w:rPr>
        <w:rStyle w:val="Numrodepage"/>
        <w:rFonts w:cs="Arial"/>
        <w:noProof/>
        <w:sz w:val="20"/>
        <w:szCs w:val="20"/>
      </w:rPr>
      <w:t>3</w:t>
    </w:r>
    <w:r>
      <w:rPr>
        <w:rStyle w:val="Numrodepage"/>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77" w:rsidRDefault="00B72C77" w:rsidP="00B76474">
      <w:pPr>
        <w:rPr>
          <w:rStyle w:val="WW8Num1z0"/>
          <w:rFonts w:ascii="Times New Roman" w:hAnsi="Times New Roman"/>
        </w:rPr>
      </w:pPr>
      <w:r>
        <w:rPr>
          <w:rStyle w:val="WW8Num1z0"/>
          <w:rFonts w:ascii="Times New Roman" w:hAnsi="Times New Roman"/>
        </w:rPr>
        <w:separator/>
      </w:r>
    </w:p>
  </w:footnote>
  <w:footnote w:type="continuationSeparator" w:id="0">
    <w:p w:rsidR="00B72C77" w:rsidRDefault="00B72C77" w:rsidP="00B76474">
      <w:pPr>
        <w:rPr>
          <w:rStyle w:val="WW8Num1z0"/>
          <w:rFonts w:ascii="Times New Roman" w:hAnsi="Times New Roman"/>
        </w:rPr>
      </w:pPr>
      <w:r>
        <w:rPr>
          <w:rStyle w:val="WW8Num1z0"/>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17" w:rsidRDefault="001C6290">
    <w:pPr>
      <w:pStyle w:val="En-tte"/>
    </w:pPr>
    <w:r>
      <w:rPr>
        <w:noProof/>
        <w:lang w:val="fr-BE" w:eastAsia="fr-B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410876" o:spid="_x0000_s2049" type="#_x0000_t136" style="position:absolute;margin-left:0;margin-top:0;width:479.6pt;height:159.85pt;rotation:315;z-index:-251658752;mso-position-horizontal:center;mso-position-horizontal-relative:margin;mso-position-vertical:center;mso-position-vertical-relative:margin" o:allowincell="f" fillcolor="silver" stroked="f">
          <v:fill opacity=".5"/>
          <v:textpath style="font-family:&quot;Helvetica LT Condensed&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17" w:rsidRDefault="001C6290">
    <w:pPr>
      <w:pStyle w:val="En-tte"/>
    </w:pPr>
    <w:r>
      <w:rPr>
        <w:noProof/>
        <w:lang w:val="fr-BE" w:eastAsia="fr-B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410877" o:spid="_x0000_s2050" type="#_x0000_t136" style="position:absolute;margin-left:0;margin-top:0;width:479.6pt;height:159.85pt;rotation:315;z-index:-251657728;mso-position-horizontal:center;mso-position-horizontal-relative:margin;mso-position-vertical:center;mso-position-vertical-relative:margin" o:allowincell="f" fillcolor="silver" stroked="f">
          <v:fill opacity=".5"/>
          <v:textpath style="font-family:&quot;Helvetica LT Condensed&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17" w:rsidRDefault="001C6290">
    <w:pPr>
      <w:pStyle w:val="En-tte"/>
    </w:pPr>
    <w:r>
      <w:rPr>
        <w:noProof/>
        <w:lang w:val="fr-BE" w:eastAsia="fr-B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1410875" o:spid="_x0000_s2051" type="#_x0000_t136" style="position:absolute;margin-left:0;margin-top:0;width:479.6pt;height:159.85pt;rotation:315;z-index:-251659776;mso-position-horizontal:center;mso-position-horizontal-relative:margin;mso-position-vertical:center;mso-position-vertical-relative:margin" o:allowincell="f" fillcolor="silver" stroked="f">
          <v:fill opacity=".5"/>
          <v:textpath style="font-family:&quot;Helvetica LT Condensed&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Arial" w:hAnsi="Aria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65907FAD"/>
    <w:multiLevelType w:val="hybridMultilevel"/>
    <w:tmpl w:val="B04CD64E"/>
    <w:lvl w:ilvl="0" w:tplc="2EC24C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66"/>
    <w:rsid w:val="0000438A"/>
    <w:rsid w:val="000514EC"/>
    <w:rsid w:val="00055BBE"/>
    <w:rsid w:val="000618A6"/>
    <w:rsid w:val="000715FE"/>
    <w:rsid w:val="0008279F"/>
    <w:rsid w:val="000B748C"/>
    <w:rsid w:val="000E5C27"/>
    <w:rsid w:val="00110E08"/>
    <w:rsid w:val="00122E89"/>
    <w:rsid w:val="00131519"/>
    <w:rsid w:val="00143AB5"/>
    <w:rsid w:val="00197B69"/>
    <w:rsid w:val="001A0C8A"/>
    <w:rsid w:val="001C6290"/>
    <w:rsid w:val="001E374B"/>
    <w:rsid w:val="001E6317"/>
    <w:rsid w:val="001E7D9E"/>
    <w:rsid w:val="001F6C58"/>
    <w:rsid w:val="002118A3"/>
    <w:rsid w:val="00265A03"/>
    <w:rsid w:val="00275C42"/>
    <w:rsid w:val="0027618B"/>
    <w:rsid w:val="002A1DE6"/>
    <w:rsid w:val="0030549A"/>
    <w:rsid w:val="003146D2"/>
    <w:rsid w:val="004352B5"/>
    <w:rsid w:val="00493772"/>
    <w:rsid w:val="00493EA5"/>
    <w:rsid w:val="004A746D"/>
    <w:rsid w:val="004E6AB2"/>
    <w:rsid w:val="005132A1"/>
    <w:rsid w:val="005952C7"/>
    <w:rsid w:val="005A4FF0"/>
    <w:rsid w:val="005B2C71"/>
    <w:rsid w:val="005E0D53"/>
    <w:rsid w:val="00600BEF"/>
    <w:rsid w:val="00671966"/>
    <w:rsid w:val="006D4675"/>
    <w:rsid w:val="006F509D"/>
    <w:rsid w:val="007124F4"/>
    <w:rsid w:val="00760DF5"/>
    <w:rsid w:val="007851BF"/>
    <w:rsid w:val="007D09D8"/>
    <w:rsid w:val="00806E79"/>
    <w:rsid w:val="00814F15"/>
    <w:rsid w:val="0082295D"/>
    <w:rsid w:val="00836B6B"/>
    <w:rsid w:val="008447DE"/>
    <w:rsid w:val="00892E57"/>
    <w:rsid w:val="008D35EF"/>
    <w:rsid w:val="00905A9C"/>
    <w:rsid w:val="00960BAF"/>
    <w:rsid w:val="00961F12"/>
    <w:rsid w:val="0099053F"/>
    <w:rsid w:val="009A05FD"/>
    <w:rsid w:val="009B3E8F"/>
    <w:rsid w:val="009D2C2B"/>
    <w:rsid w:val="00A05C0B"/>
    <w:rsid w:val="00A157C4"/>
    <w:rsid w:val="00A602FE"/>
    <w:rsid w:val="00A60846"/>
    <w:rsid w:val="00A630D1"/>
    <w:rsid w:val="00A71597"/>
    <w:rsid w:val="00A81532"/>
    <w:rsid w:val="00A94ABA"/>
    <w:rsid w:val="00A96E62"/>
    <w:rsid w:val="00AD308D"/>
    <w:rsid w:val="00B30DE9"/>
    <w:rsid w:val="00B42726"/>
    <w:rsid w:val="00B72C77"/>
    <w:rsid w:val="00B76474"/>
    <w:rsid w:val="00B77B18"/>
    <w:rsid w:val="00B97A3D"/>
    <w:rsid w:val="00BB35E1"/>
    <w:rsid w:val="00BE7B7E"/>
    <w:rsid w:val="00C0160E"/>
    <w:rsid w:val="00C13317"/>
    <w:rsid w:val="00C169AC"/>
    <w:rsid w:val="00C519E1"/>
    <w:rsid w:val="00C61D16"/>
    <w:rsid w:val="00C66C9F"/>
    <w:rsid w:val="00C7702C"/>
    <w:rsid w:val="00CE1A77"/>
    <w:rsid w:val="00CF4BB1"/>
    <w:rsid w:val="00D22D30"/>
    <w:rsid w:val="00D471D1"/>
    <w:rsid w:val="00D51DE4"/>
    <w:rsid w:val="00D53E19"/>
    <w:rsid w:val="00D64EE0"/>
    <w:rsid w:val="00DB1123"/>
    <w:rsid w:val="00E037D2"/>
    <w:rsid w:val="00E40468"/>
    <w:rsid w:val="00E559C5"/>
    <w:rsid w:val="00E71F35"/>
    <w:rsid w:val="00EC2724"/>
    <w:rsid w:val="00ED08FD"/>
    <w:rsid w:val="00EE459A"/>
    <w:rsid w:val="00F6049F"/>
    <w:rsid w:val="00FB2795"/>
    <w:rsid w:val="00FE3A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2DA2246"/>
  <w14:defaultImageDpi w14:val="0"/>
  <w15:docId w15:val="{B3D26606-5EEA-45D5-BE7A-3BF1B47E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Arial" w:hAnsi="Aria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Arial" w:hAnsi="Aria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Arial" w:hAnsi="Aria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Arial" w:hAnsi="Aria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Policepardfaut1">
    <w:name w:val="Police par défaut1"/>
  </w:style>
  <w:style w:type="character" w:styleId="Numrodepage">
    <w:name w:val="page number"/>
    <w:basedOn w:val="Policepardfaut1"/>
    <w:uiPriority w:val="99"/>
    <w:rPr>
      <w:rFonts w:cs="Times New Roman"/>
    </w:rPr>
  </w:style>
  <w:style w:type="character" w:customStyle="1" w:styleId="CarCar">
    <w:name w:val="Car Car"/>
    <w:rPr>
      <w:rFonts w:ascii="Arial" w:hAnsi="Arial"/>
      <w:lang w:val="fr-FR" w:eastAsia="ar-SA" w:bidi="ar-SA"/>
    </w:rPr>
  </w:style>
  <w:style w:type="character" w:customStyle="1" w:styleId="mod-beg-end1">
    <w:name w:val="mod-beg-end1"/>
    <w:rPr>
      <w:rFonts w:ascii="Times New Roman" w:hAnsi="Times New Roman"/>
      <w:i/>
      <w:sz w:val="22"/>
    </w:rPr>
  </w:style>
  <w:style w:type="character" w:customStyle="1" w:styleId="modif1">
    <w:name w:val="modif1"/>
    <w:rPr>
      <w:rFonts w:ascii="Times New Roman" w:hAnsi="Times New Roman"/>
      <w:i/>
      <w:sz w:val="22"/>
    </w:rPr>
  </w:style>
  <w:style w:type="character" w:customStyle="1" w:styleId="note-mod-end1">
    <w:name w:val="note-mod-end1"/>
    <w:rPr>
      <w:rFonts w:ascii="Times New Roman" w:hAnsi="Times New Roman"/>
      <w:color w:val="343434"/>
      <w:sz w:val="22"/>
    </w:rPr>
  </w:style>
  <w:style w:type="character" w:customStyle="1" w:styleId="type6">
    <w:name w:val="type6"/>
    <w:rPr>
      <w:rFonts w:ascii="Times New Roman" w:hAnsi="Times New Roman"/>
      <w:b/>
      <w:sz w:val="22"/>
    </w:rPr>
  </w:style>
  <w:style w:type="character" w:customStyle="1" w:styleId="num6">
    <w:name w:val="num6"/>
    <w:rPr>
      <w:rFonts w:ascii="Times New Roman" w:hAnsi="Times New Roman"/>
      <w:b/>
      <w:sz w:val="22"/>
    </w:rPr>
  </w:style>
  <w:style w:type="paragraph" w:customStyle="1" w:styleId="Titre1">
    <w:name w:val="Titre1"/>
    <w:basedOn w:val="Normal"/>
    <w:next w:val="Corpsdetexte"/>
    <w:pPr>
      <w:keepNext/>
      <w:spacing w:before="240" w:after="120"/>
    </w:pPr>
    <w:rPr>
      <w:rFonts w:ascii="Albany AMT" w:hAnsi="Albany AMT" w:cs="Tahoma"/>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rsid w:val="000C2C04"/>
    <w:rPr>
      <w:sz w:val="24"/>
      <w:szCs w:val="24"/>
      <w:lang w:val="fr-FR" w:eastAsia="ar-SA"/>
    </w:rPr>
  </w:style>
  <w:style w:type="paragraph" w:styleId="Liste">
    <w:name w:val="List"/>
    <w:basedOn w:val="Corpsdetexte"/>
    <w:uiPriority w:val="99"/>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sid w:val="000C2C04"/>
    <w:rPr>
      <w:sz w:val="24"/>
      <w:szCs w:val="24"/>
      <w:lang w:val="fr-FR" w:eastAsia="ar-SA"/>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sid w:val="000C2C04"/>
    <w:rPr>
      <w:sz w:val="24"/>
      <w:szCs w:val="24"/>
      <w:lang w:val="fr-FR" w:eastAsia="ar-SA"/>
    </w:rPr>
  </w:style>
  <w:style w:type="paragraph" w:styleId="Notedebasdepage">
    <w:name w:val="footnote text"/>
    <w:basedOn w:val="Normal"/>
    <w:link w:val="NotedebasdepageCar"/>
    <w:uiPriority w:val="99"/>
    <w:semiHidden/>
    <w:rPr>
      <w:rFonts w:ascii="Arial" w:hAnsi="Arial"/>
      <w:sz w:val="20"/>
      <w:szCs w:val="20"/>
    </w:rPr>
  </w:style>
  <w:style w:type="character" w:customStyle="1" w:styleId="NotedebasdepageCar">
    <w:name w:val="Note de bas de page Car"/>
    <w:basedOn w:val="Policepardfaut"/>
    <w:link w:val="Notedebasdepage"/>
    <w:uiPriority w:val="99"/>
    <w:semiHidden/>
    <w:rsid w:val="000C2C04"/>
    <w:rPr>
      <w:lang w:val="fr-FR" w:eastAsia="ar-SA"/>
    </w:rPr>
  </w:style>
  <w:style w:type="paragraph" w:customStyle="1" w:styleId="ti1">
    <w:name w:val="ti1"/>
    <w:basedOn w:val="Normal"/>
    <w:pPr>
      <w:spacing w:before="100" w:after="80" w:line="260" w:lineRule="atLeast"/>
    </w:pPr>
    <w:rPr>
      <w:i/>
      <w:iCs/>
    </w:rPr>
  </w:style>
  <w:style w:type="paragraph" w:customStyle="1" w:styleId="art-num1">
    <w:name w:val="art-num1"/>
    <w:basedOn w:val="Normal"/>
    <w:pPr>
      <w:spacing w:before="100" w:after="80" w:line="260" w:lineRule="atLeast"/>
    </w:pPr>
    <w:rPr>
      <w:b/>
      <w:bCs/>
    </w:rPr>
  </w:style>
  <w:style w:type="paragraph" w:customStyle="1" w:styleId="para-artnum11">
    <w:name w:val="para-artnum11"/>
    <w:basedOn w:val="Normal"/>
    <w:pPr>
      <w:spacing w:before="100" w:after="80" w:line="260" w:lineRule="atLeast"/>
    </w:pPr>
  </w:style>
  <w:style w:type="paragraph" w:customStyle="1" w:styleId="ti2">
    <w:name w:val="ti2"/>
    <w:basedOn w:val="Normal"/>
    <w:pPr>
      <w:spacing w:before="100" w:after="80" w:line="260" w:lineRule="atLeast"/>
    </w:pPr>
    <w:rPr>
      <w:b/>
      <w:bCs/>
    </w:rPr>
  </w:style>
  <w:style w:type="paragraph" w:customStyle="1" w:styleId="para-center1">
    <w:name w:val="para-center1"/>
    <w:basedOn w:val="Normal"/>
    <w:pPr>
      <w:spacing w:before="100" w:after="80" w:line="260" w:lineRule="atLeast"/>
      <w:jc w:val="center"/>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Retraitcorpsdetexte">
    <w:name w:val="Body Text Indent"/>
    <w:basedOn w:val="Normal"/>
    <w:link w:val="RetraitcorpsdetexteCar"/>
    <w:uiPriority w:val="99"/>
    <w:pPr>
      <w:ind w:firstLine="567"/>
    </w:pPr>
    <w:rPr>
      <w:lang w:val="fr-BE"/>
    </w:rPr>
  </w:style>
  <w:style w:type="character" w:customStyle="1" w:styleId="RetraitcorpsdetexteCar">
    <w:name w:val="Retrait corps de texte Car"/>
    <w:basedOn w:val="Policepardfaut"/>
    <w:link w:val="Retraitcorpsdetexte"/>
    <w:uiPriority w:val="99"/>
    <w:semiHidden/>
    <w:rsid w:val="000C2C04"/>
    <w:rPr>
      <w:sz w:val="24"/>
      <w:szCs w:val="24"/>
      <w:lang w:val="fr-FR" w:eastAsia="ar-SA"/>
    </w:rPr>
  </w:style>
  <w:style w:type="paragraph" w:styleId="Textedebulles">
    <w:name w:val="Balloon Text"/>
    <w:basedOn w:val="Normal"/>
    <w:link w:val="TextedebullesCar"/>
    <w:uiPriority w:val="99"/>
    <w:rsid w:val="00836B6B"/>
    <w:rPr>
      <w:rFonts w:ascii="Tahoma" w:hAnsi="Tahoma" w:cs="Tahoma"/>
      <w:sz w:val="16"/>
      <w:szCs w:val="16"/>
    </w:rPr>
  </w:style>
  <w:style w:type="character" w:customStyle="1" w:styleId="TextedebullesCar">
    <w:name w:val="Texte de bulles Car"/>
    <w:basedOn w:val="Policepardfaut"/>
    <w:link w:val="Textedebulles"/>
    <w:uiPriority w:val="99"/>
    <w:locked/>
    <w:rsid w:val="00836B6B"/>
    <w:rPr>
      <w:rFonts w:ascii="Tahoma" w:hAnsi="Tahoma"/>
      <w:sz w:val="16"/>
      <w:lang w:val="fr-FR"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6C08-37F5-4D52-A08E-384AC98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1166</Words>
  <Characters>6544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Province de Hainaut – Arrondissement de Charleroi</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Hainaut – Arrondissement de Charleroi</dc:title>
  <dc:creator>LESEUR [sandrine.leseur@igretec.com]</dc:creator>
  <cp:lastModifiedBy>LESEUR [sandrine.leseur@igretec.com]</cp:lastModifiedBy>
  <cp:revision>3</cp:revision>
  <cp:lastPrinted>2011-05-25T14:52:00Z</cp:lastPrinted>
  <dcterms:created xsi:type="dcterms:W3CDTF">2021-05-06T07:42:00Z</dcterms:created>
  <dcterms:modified xsi:type="dcterms:W3CDTF">2021-05-06T07:43:00Z</dcterms:modified>
</cp:coreProperties>
</file>